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2.0.0 -->
  <w:body>
    <w:p w:rsidR="00B4507D" w:rsidP="007619BB">
      <w:pPr>
        <w:spacing w:after="0"/>
        <w:jc w:val="center"/>
        <w:rPr>
          <w:rFonts w:ascii="Arial" w:hAnsi="Arial" w:cs="Arial"/>
          <w:b/>
          <w:sz w:val="24"/>
          <w:szCs w:val="24"/>
        </w:rPr>
      </w:pPr>
    </w:p>
    <w:p w:rsidR="007619BB" w:rsidP="007619BB">
      <w:pPr>
        <w:spacing w:after="0"/>
        <w:jc w:val="center"/>
      </w:pPr>
      <w:r>
        <w:rPr>
          <w:rFonts w:ascii="Arial" w:hAnsi="Arial" w:cs="Arial"/>
          <w:b/>
          <w:sz w:val="24"/>
          <w:szCs w:val="24"/>
        </w:rPr>
        <w:t xml:space="preserve">Local Initiative </w:t>
      </w:r>
      <w:r w:rsidRPr="00493193">
        <w:rPr>
          <w:rFonts w:ascii="Arial" w:hAnsi="Arial" w:cs="Arial"/>
          <w:b/>
          <w:sz w:val="24"/>
          <w:szCs w:val="24"/>
        </w:rPr>
        <w:t xml:space="preserve">Fund </w:t>
      </w:r>
      <w:r>
        <w:rPr>
          <w:rFonts w:ascii="Arial" w:hAnsi="Arial" w:cs="Arial"/>
          <w:b/>
          <w:sz w:val="24"/>
          <w:szCs w:val="24"/>
        </w:rPr>
        <w:t>Round 2 2016/17</w:t>
      </w:r>
      <w:r w:rsidRPr="00493193">
        <w:rPr>
          <w:rFonts w:ascii="Arial" w:hAnsi="Arial" w:cs="Arial"/>
          <w:b/>
          <w:sz w:val="24"/>
          <w:szCs w:val="24"/>
        </w:rPr>
        <w:t xml:space="preserve"> - Applications considered for </w:t>
      </w:r>
      <w:r w:rsidRPr="00917611">
        <w:rPr>
          <w:rFonts w:ascii="Arial" w:hAnsi="Arial" w:cs="Arial"/>
          <w:b/>
          <w:sz w:val="24"/>
          <w:szCs w:val="24"/>
        </w:rPr>
        <w:t>Hyndburn</w:t>
      </w:r>
    </w:p>
    <w:p w:rsidR="007619BB" w:rsidP="007619BB">
      <w:pPr>
        <w:spacing w:after="0"/>
      </w:pPr>
    </w:p>
    <w:p w:rsidR="00917611" w:rsidP="00AB41F5">
      <w:pPr>
        <w:spacing w:after="0" w:line="240" w:lineRule="auto"/>
        <w:rPr>
          <w:rFonts w:ascii="Arial" w:hAnsi="Arial" w:cs="Arial"/>
          <w:b/>
          <w:sz w:val="24"/>
          <w:u w:val="single"/>
        </w:rPr>
      </w:pPr>
    </w:p>
    <w:tbl>
      <w:tblPr>
        <w:tblStyle w:val="TableGrid"/>
        <w:tblW w:w="16302" w:type="dxa"/>
        <w:tblInd w:w="-431" w:type="dxa"/>
        <w:tblLayout w:type="fixed"/>
        <w:tblLook w:val="04A0"/>
      </w:tblPr>
      <w:tblGrid>
        <w:gridCol w:w="993"/>
        <w:gridCol w:w="1701"/>
        <w:gridCol w:w="5387"/>
        <w:gridCol w:w="1417"/>
        <w:gridCol w:w="1391"/>
        <w:gridCol w:w="1444"/>
        <w:gridCol w:w="1985"/>
        <w:gridCol w:w="1984"/>
      </w:tblGrid>
      <w:tr w:rsidTr="003C7E91">
        <w:tblPrEx>
          <w:tblW w:w="16302" w:type="dxa"/>
          <w:tblInd w:w="-431" w:type="dxa"/>
          <w:tblLayout w:type="fixed"/>
          <w:tblLook w:val="04A0"/>
        </w:tblPrEx>
        <w:trPr>
          <w:trHeight w:val="597"/>
        </w:trPr>
        <w:tc>
          <w:tcPr>
            <w:tcW w:w="993" w:type="dxa"/>
            <w:tcBorders>
              <w:bottom w:val="single" w:sz="4" w:space="0" w:color="auto"/>
            </w:tcBorders>
            <w:shd w:val="clear" w:color="auto" w:fill="auto"/>
            <w:vAlign w:val="center"/>
          </w:tcPr>
          <w:p w:rsidR="00D81204" w:rsidRPr="00493193" w:rsidP="003C7E91">
            <w:pPr>
              <w:jc w:val="center"/>
              <w:rPr>
                <w:rFonts w:ascii="Arial" w:hAnsi="Arial" w:cs="Arial"/>
                <w:b/>
                <w:sz w:val="24"/>
                <w:szCs w:val="24"/>
              </w:rPr>
            </w:pPr>
            <w:r w:rsidRPr="00493193">
              <w:rPr>
                <w:rFonts w:ascii="Arial" w:hAnsi="Arial" w:cs="Arial"/>
                <w:b/>
                <w:sz w:val="24"/>
                <w:szCs w:val="24"/>
              </w:rPr>
              <w:t>LIF No</w:t>
            </w:r>
          </w:p>
        </w:tc>
        <w:tc>
          <w:tcPr>
            <w:tcW w:w="1701" w:type="dxa"/>
            <w:tcBorders>
              <w:bottom w:val="single" w:sz="4" w:space="0" w:color="auto"/>
            </w:tcBorders>
            <w:shd w:val="clear" w:color="auto" w:fill="auto"/>
            <w:vAlign w:val="center"/>
          </w:tcPr>
          <w:p w:rsidR="00D81204" w:rsidRPr="00493193" w:rsidP="003C7E91">
            <w:pPr>
              <w:jc w:val="center"/>
              <w:rPr>
                <w:rFonts w:ascii="Arial" w:hAnsi="Arial" w:cs="Arial"/>
                <w:b/>
                <w:sz w:val="24"/>
                <w:szCs w:val="24"/>
              </w:rPr>
            </w:pPr>
            <w:r w:rsidRPr="00493193">
              <w:rPr>
                <w:rFonts w:ascii="Arial" w:hAnsi="Arial" w:cs="Arial"/>
                <w:b/>
                <w:sz w:val="24"/>
                <w:szCs w:val="24"/>
              </w:rPr>
              <w:t>Organisation</w:t>
            </w:r>
          </w:p>
        </w:tc>
        <w:tc>
          <w:tcPr>
            <w:tcW w:w="5387" w:type="dxa"/>
            <w:tcBorders>
              <w:bottom w:val="single" w:sz="4" w:space="0" w:color="auto"/>
            </w:tcBorders>
            <w:shd w:val="clear" w:color="auto" w:fill="auto"/>
            <w:vAlign w:val="center"/>
          </w:tcPr>
          <w:p w:rsidR="00D81204" w:rsidRPr="00493193" w:rsidP="003C7E91">
            <w:pPr>
              <w:jc w:val="center"/>
              <w:rPr>
                <w:rFonts w:ascii="Arial" w:hAnsi="Arial" w:cs="Arial"/>
                <w:b/>
                <w:sz w:val="24"/>
                <w:szCs w:val="24"/>
              </w:rPr>
            </w:pPr>
            <w:r w:rsidRPr="00493193">
              <w:rPr>
                <w:rFonts w:ascii="Arial" w:hAnsi="Arial" w:cs="Arial"/>
                <w:b/>
                <w:sz w:val="24"/>
                <w:szCs w:val="24"/>
              </w:rPr>
              <w:t>What the funds were requested for</w:t>
            </w:r>
          </w:p>
        </w:tc>
        <w:tc>
          <w:tcPr>
            <w:tcW w:w="1417" w:type="dxa"/>
            <w:tcBorders>
              <w:bottom w:val="single" w:sz="4" w:space="0" w:color="auto"/>
            </w:tcBorders>
            <w:shd w:val="clear" w:color="auto" w:fill="auto"/>
            <w:vAlign w:val="center"/>
          </w:tcPr>
          <w:p w:rsidR="00D81204" w:rsidRPr="00493193" w:rsidP="003C7E91">
            <w:pPr>
              <w:jc w:val="center"/>
              <w:rPr>
                <w:rFonts w:ascii="Arial" w:hAnsi="Arial" w:cs="Arial"/>
                <w:b/>
                <w:sz w:val="24"/>
                <w:szCs w:val="24"/>
              </w:rPr>
            </w:pPr>
            <w:r w:rsidRPr="00493193">
              <w:rPr>
                <w:rFonts w:ascii="Arial" w:hAnsi="Arial" w:cs="Arial"/>
                <w:b/>
                <w:sz w:val="24"/>
                <w:szCs w:val="24"/>
              </w:rPr>
              <w:t>Priority Area</w:t>
            </w:r>
          </w:p>
        </w:tc>
        <w:tc>
          <w:tcPr>
            <w:tcW w:w="1391" w:type="dxa"/>
            <w:tcBorders>
              <w:bottom w:val="single" w:sz="4" w:space="0" w:color="auto"/>
            </w:tcBorders>
            <w:vAlign w:val="center"/>
          </w:tcPr>
          <w:p w:rsidR="00D81204" w:rsidRPr="00493193" w:rsidP="003C7E91">
            <w:pPr>
              <w:jc w:val="center"/>
              <w:rPr>
                <w:rFonts w:ascii="Arial" w:hAnsi="Arial" w:cs="Arial"/>
                <w:b/>
                <w:sz w:val="24"/>
                <w:szCs w:val="24"/>
              </w:rPr>
            </w:pPr>
            <w:r>
              <w:rPr>
                <w:rFonts w:ascii="Arial" w:hAnsi="Arial" w:cs="Arial"/>
                <w:b/>
                <w:sz w:val="24"/>
                <w:szCs w:val="24"/>
              </w:rPr>
              <w:t>Total Cost of Activity</w:t>
            </w:r>
          </w:p>
        </w:tc>
        <w:tc>
          <w:tcPr>
            <w:tcW w:w="1444" w:type="dxa"/>
            <w:tcBorders>
              <w:bottom w:val="single" w:sz="4" w:space="0" w:color="auto"/>
            </w:tcBorders>
            <w:shd w:val="clear" w:color="auto" w:fill="auto"/>
            <w:vAlign w:val="center"/>
          </w:tcPr>
          <w:p w:rsidR="00D81204" w:rsidRPr="00493193" w:rsidP="003C7E91">
            <w:pPr>
              <w:jc w:val="center"/>
              <w:rPr>
                <w:rFonts w:ascii="Arial" w:hAnsi="Arial" w:cs="Arial"/>
                <w:b/>
                <w:sz w:val="24"/>
                <w:szCs w:val="24"/>
              </w:rPr>
            </w:pPr>
            <w:r w:rsidRPr="00493193">
              <w:rPr>
                <w:rFonts w:ascii="Arial" w:hAnsi="Arial" w:cs="Arial"/>
                <w:b/>
                <w:sz w:val="24"/>
                <w:szCs w:val="24"/>
              </w:rPr>
              <w:t>Amount Requested</w:t>
            </w:r>
          </w:p>
        </w:tc>
        <w:tc>
          <w:tcPr>
            <w:tcW w:w="1985" w:type="dxa"/>
            <w:tcBorders>
              <w:bottom w:val="single" w:sz="4" w:space="0" w:color="auto"/>
            </w:tcBorders>
            <w:shd w:val="clear" w:color="auto" w:fill="auto"/>
            <w:vAlign w:val="center"/>
          </w:tcPr>
          <w:p w:rsidR="00D81204" w:rsidRPr="00493193" w:rsidP="003C7E91">
            <w:pPr>
              <w:jc w:val="center"/>
              <w:rPr>
                <w:rFonts w:ascii="Arial" w:hAnsi="Arial" w:cs="Arial"/>
                <w:b/>
                <w:sz w:val="24"/>
                <w:szCs w:val="24"/>
              </w:rPr>
            </w:pPr>
            <w:r w:rsidRPr="00493193">
              <w:rPr>
                <w:rFonts w:ascii="Arial" w:hAnsi="Arial" w:cs="Arial"/>
                <w:b/>
                <w:sz w:val="24"/>
                <w:szCs w:val="24"/>
              </w:rPr>
              <w:t>Amount Recommended</w:t>
            </w:r>
          </w:p>
        </w:tc>
        <w:tc>
          <w:tcPr>
            <w:tcW w:w="1984" w:type="dxa"/>
            <w:tcBorders>
              <w:bottom w:val="single" w:sz="4" w:space="0" w:color="auto"/>
            </w:tcBorders>
            <w:shd w:val="clear" w:color="auto" w:fill="auto"/>
            <w:vAlign w:val="center"/>
          </w:tcPr>
          <w:p w:rsidR="00D81204" w:rsidRPr="00493193" w:rsidP="003C7E91">
            <w:pPr>
              <w:jc w:val="center"/>
              <w:rPr>
                <w:rFonts w:ascii="Arial" w:hAnsi="Arial" w:cs="Arial"/>
                <w:b/>
                <w:sz w:val="24"/>
                <w:szCs w:val="24"/>
              </w:rPr>
            </w:pPr>
            <w:r w:rsidRPr="00493193">
              <w:rPr>
                <w:rFonts w:ascii="Arial" w:hAnsi="Arial" w:cs="Arial"/>
                <w:b/>
                <w:sz w:val="24"/>
                <w:szCs w:val="24"/>
              </w:rPr>
              <w:t>Comments from the Panel and officers</w:t>
            </w:r>
          </w:p>
        </w:tc>
      </w:tr>
      <w:tr w:rsidTr="008E7D0F">
        <w:tblPrEx>
          <w:tblW w:w="16302" w:type="dxa"/>
          <w:tblInd w:w="-431" w:type="dxa"/>
          <w:tblLayout w:type="fixed"/>
          <w:tblLook w:val="04A0"/>
        </w:tblPrEx>
        <w:trPr>
          <w:trHeight w:val="597"/>
        </w:trPr>
        <w:tc>
          <w:tcPr>
            <w:tcW w:w="993" w:type="dxa"/>
            <w:tcBorders>
              <w:bottom w:val="single" w:sz="4" w:space="0" w:color="auto"/>
            </w:tcBorders>
            <w:shd w:val="clear" w:color="auto" w:fill="auto"/>
            <w:vAlign w:val="center"/>
          </w:tcPr>
          <w:p w:rsidR="00D20881" w:rsidRPr="00D20881" w:rsidP="00D20881">
            <w:pPr>
              <w:jc w:val="center"/>
              <w:rPr>
                <w:rFonts w:ascii="Arial" w:hAnsi="Arial" w:cs="Arial"/>
                <w:sz w:val="20"/>
                <w:szCs w:val="20"/>
              </w:rPr>
            </w:pPr>
            <w:r w:rsidRPr="00D20881">
              <w:rPr>
                <w:rFonts w:ascii="Arial" w:hAnsi="Arial" w:cs="Arial"/>
                <w:sz w:val="20"/>
                <w:szCs w:val="20"/>
              </w:rPr>
              <w:t>LIF1128</w:t>
            </w:r>
          </w:p>
        </w:tc>
        <w:tc>
          <w:tcPr>
            <w:tcW w:w="1701" w:type="dxa"/>
            <w:tcBorders>
              <w:bottom w:val="single" w:sz="4" w:space="0" w:color="auto"/>
            </w:tcBorders>
            <w:shd w:val="clear" w:color="auto" w:fill="auto"/>
            <w:vAlign w:val="center"/>
          </w:tcPr>
          <w:p w:rsidR="00D20881" w:rsidRPr="00D20881" w:rsidP="00D20881">
            <w:pPr>
              <w:jc w:val="center"/>
              <w:rPr>
                <w:rFonts w:ascii="Arial" w:hAnsi="Arial" w:cs="Arial"/>
                <w:sz w:val="20"/>
                <w:szCs w:val="20"/>
              </w:rPr>
            </w:pPr>
            <w:r w:rsidRPr="00D20881">
              <w:rPr>
                <w:rFonts w:ascii="Arial" w:hAnsi="Arial" w:cs="Arial"/>
                <w:sz w:val="20"/>
                <w:szCs w:val="20"/>
              </w:rPr>
              <w:t>Young Enterprise</w:t>
            </w:r>
          </w:p>
        </w:tc>
        <w:tc>
          <w:tcPr>
            <w:tcW w:w="5387" w:type="dxa"/>
            <w:tcBorders>
              <w:bottom w:val="single" w:sz="4" w:space="0" w:color="auto"/>
            </w:tcBorders>
            <w:shd w:val="clear" w:color="auto" w:fill="auto"/>
            <w:vAlign w:val="center"/>
          </w:tcPr>
          <w:p w:rsidR="00D20881" w:rsidRPr="00D20881" w:rsidP="00D20881">
            <w:pPr>
              <w:rPr>
                <w:rFonts w:ascii="Arial" w:hAnsi="Arial" w:cs="Arial"/>
                <w:b/>
                <w:sz w:val="20"/>
                <w:szCs w:val="20"/>
              </w:rPr>
            </w:pPr>
            <w:r w:rsidRPr="00D20881">
              <w:rPr>
                <w:rFonts w:ascii="Arial" w:eastAsia="Calibri" w:hAnsi="Arial" w:cs="Arial"/>
                <w:color w:val="000000"/>
                <w:sz w:val="20"/>
                <w:szCs w:val="20"/>
              </w:rPr>
              <w:t>Over the course of 6 hours (this could be a full school day, 2 x Saturday mornings or during the school holidays depending on the needs of the setting &amp; the young people involved), we will run a series of activities aimed at developing key life skills such as resilience, communication, confidence, team building, organisation, problem solving, financial capability and initiative. All activities will be fun and engaging whilst encouraging young people to celebrate the skills that they already possess, help them develop these skills further as well as building new skills whilst at the same time fostering an understanding of how these skills are important for everyday life. This programme will enable us to work with up to 120 disadvantaged young people in up to 4 locations.</w:t>
            </w:r>
          </w:p>
        </w:tc>
        <w:tc>
          <w:tcPr>
            <w:tcW w:w="1417" w:type="dxa"/>
            <w:tcBorders>
              <w:bottom w:val="single" w:sz="4" w:space="0" w:color="auto"/>
            </w:tcBorders>
            <w:shd w:val="clear" w:color="auto" w:fill="auto"/>
            <w:vAlign w:val="center"/>
          </w:tcPr>
          <w:p w:rsidR="00D20881" w:rsidRPr="00D20881" w:rsidP="00D20881">
            <w:pPr>
              <w:jc w:val="center"/>
              <w:rPr>
                <w:rFonts w:ascii="Arial" w:hAnsi="Arial" w:cs="Arial"/>
                <w:b/>
                <w:sz w:val="20"/>
                <w:szCs w:val="20"/>
              </w:rPr>
            </w:pPr>
            <w:r w:rsidRPr="00DA0E97">
              <w:rPr>
                <w:rFonts w:ascii="Arial" w:hAnsi="Arial" w:cs="Arial"/>
                <w:sz w:val="20"/>
                <w:szCs w:val="20"/>
              </w:rPr>
              <w:t>Activities and Programmes for Young People</w:t>
            </w:r>
          </w:p>
        </w:tc>
        <w:tc>
          <w:tcPr>
            <w:tcW w:w="1391" w:type="dxa"/>
            <w:tcBorders>
              <w:bottom w:val="single" w:sz="4" w:space="0" w:color="auto"/>
            </w:tcBorders>
            <w:vAlign w:val="center"/>
          </w:tcPr>
          <w:p w:rsidR="00D20881" w:rsidRPr="00D20881" w:rsidP="00D20881">
            <w:pPr>
              <w:jc w:val="center"/>
              <w:rPr>
                <w:rFonts w:ascii="Arial" w:hAnsi="Arial" w:cs="Arial"/>
                <w:sz w:val="20"/>
                <w:szCs w:val="20"/>
              </w:rPr>
            </w:pPr>
            <w:r w:rsidRPr="00D20881">
              <w:rPr>
                <w:rFonts w:ascii="Arial" w:hAnsi="Arial" w:cs="Arial"/>
                <w:sz w:val="20"/>
                <w:szCs w:val="20"/>
              </w:rPr>
              <w:t>£1,200</w:t>
            </w:r>
          </w:p>
        </w:tc>
        <w:tc>
          <w:tcPr>
            <w:tcW w:w="1444" w:type="dxa"/>
            <w:tcBorders>
              <w:bottom w:val="single" w:sz="4" w:space="0" w:color="auto"/>
            </w:tcBorders>
            <w:shd w:val="clear" w:color="auto" w:fill="auto"/>
            <w:vAlign w:val="center"/>
          </w:tcPr>
          <w:p w:rsidR="00D20881" w:rsidRPr="00D20881" w:rsidP="00D20881">
            <w:pPr>
              <w:jc w:val="center"/>
              <w:rPr>
                <w:rFonts w:ascii="Arial" w:hAnsi="Arial" w:cs="Arial"/>
                <w:sz w:val="20"/>
                <w:szCs w:val="20"/>
              </w:rPr>
            </w:pPr>
            <w:r w:rsidRPr="00D20881">
              <w:rPr>
                <w:rFonts w:ascii="Arial" w:hAnsi="Arial" w:cs="Arial"/>
                <w:sz w:val="20"/>
                <w:szCs w:val="20"/>
              </w:rPr>
              <w:t>£1,000</w:t>
            </w:r>
          </w:p>
        </w:tc>
        <w:tc>
          <w:tcPr>
            <w:tcW w:w="1985" w:type="dxa"/>
            <w:tcBorders>
              <w:bottom w:val="single" w:sz="4" w:space="0" w:color="auto"/>
            </w:tcBorders>
            <w:shd w:val="clear" w:color="auto" w:fill="auto"/>
            <w:vAlign w:val="center"/>
          </w:tcPr>
          <w:p w:rsidR="00D20881" w:rsidRPr="00D20881" w:rsidP="00342F7A">
            <w:pPr>
              <w:jc w:val="center"/>
              <w:rPr>
                <w:rFonts w:ascii="Arial" w:hAnsi="Arial" w:cs="Arial"/>
                <w:sz w:val="20"/>
                <w:szCs w:val="20"/>
              </w:rPr>
            </w:pPr>
            <w:r>
              <w:rPr>
                <w:rFonts w:ascii="Arial" w:hAnsi="Arial" w:cs="Arial"/>
                <w:sz w:val="20"/>
                <w:szCs w:val="20"/>
              </w:rPr>
              <w:t>£1,000</w:t>
            </w:r>
          </w:p>
        </w:tc>
        <w:tc>
          <w:tcPr>
            <w:tcW w:w="1984" w:type="dxa"/>
            <w:tcBorders>
              <w:bottom w:val="single" w:sz="4" w:space="0" w:color="auto"/>
            </w:tcBorders>
            <w:shd w:val="clear" w:color="auto" w:fill="auto"/>
            <w:vAlign w:val="center"/>
          </w:tcPr>
          <w:p w:rsidR="00AA1183" w:rsidRPr="00DA0E97" w:rsidP="00AA1183">
            <w:pPr>
              <w:jc w:val="center"/>
              <w:rPr>
                <w:rFonts w:ascii="Arial" w:hAnsi="Arial" w:cs="Arial"/>
                <w:sz w:val="20"/>
                <w:szCs w:val="20"/>
              </w:rPr>
            </w:pPr>
            <w:r w:rsidRPr="00DA0E97">
              <w:rPr>
                <w:rFonts w:ascii="Arial" w:hAnsi="Arial" w:cs="Arial"/>
                <w:sz w:val="20"/>
                <w:szCs w:val="20"/>
              </w:rPr>
              <w:t>Recommended in full.</w:t>
            </w:r>
          </w:p>
          <w:p w:rsidR="00AA1183" w:rsidRPr="00DA0E97" w:rsidP="00AA1183">
            <w:pPr>
              <w:jc w:val="center"/>
              <w:rPr>
                <w:rFonts w:ascii="Arial" w:hAnsi="Arial" w:cs="Arial"/>
                <w:sz w:val="20"/>
                <w:szCs w:val="20"/>
              </w:rPr>
            </w:pPr>
          </w:p>
          <w:p w:rsidR="00D20881" w:rsidRPr="00D20881" w:rsidP="00AA1183">
            <w:pPr>
              <w:jc w:val="center"/>
              <w:rPr>
                <w:rFonts w:ascii="Arial" w:hAnsi="Arial" w:cs="Arial"/>
                <w:sz w:val="20"/>
                <w:szCs w:val="20"/>
              </w:rPr>
            </w:pPr>
            <w:r w:rsidRPr="00DA0E97">
              <w:rPr>
                <w:rFonts w:ascii="Arial" w:hAnsi="Arial" w:cs="Arial"/>
                <w:sz w:val="20"/>
                <w:szCs w:val="20"/>
              </w:rPr>
              <w:t>Funding subject to financial clearance</w:t>
            </w:r>
            <w:r w:rsidR="0049524A">
              <w:rPr>
                <w:rFonts w:ascii="Arial" w:hAnsi="Arial" w:cs="Arial"/>
                <w:sz w:val="20"/>
                <w:szCs w:val="20"/>
              </w:rPr>
              <w:t>.</w:t>
            </w:r>
            <w:bookmarkStart w:id="0" w:name="_GoBack"/>
            <w:bookmarkEnd w:id="0"/>
          </w:p>
        </w:tc>
      </w:tr>
      <w:tr w:rsidTr="008E7D0F">
        <w:tblPrEx>
          <w:tblW w:w="16302" w:type="dxa"/>
          <w:tblInd w:w="-431" w:type="dxa"/>
          <w:tblLayout w:type="fixed"/>
          <w:tblLook w:val="04A0"/>
        </w:tblPrEx>
        <w:trPr>
          <w:trHeight w:val="597"/>
        </w:trPr>
        <w:tc>
          <w:tcPr>
            <w:tcW w:w="993" w:type="dxa"/>
            <w:tcBorders>
              <w:bottom w:val="single" w:sz="4" w:space="0" w:color="auto"/>
            </w:tcBorders>
            <w:shd w:val="clear" w:color="auto" w:fill="auto"/>
            <w:vAlign w:val="center"/>
          </w:tcPr>
          <w:p w:rsidR="00D20881" w:rsidRPr="00D20881" w:rsidP="00D20881">
            <w:pPr>
              <w:jc w:val="center"/>
              <w:rPr>
                <w:rFonts w:ascii="Arial" w:hAnsi="Arial" w:cs="Arial"/>
                <w:sz w:val="20"/>
                <w:szCs w:val="20"/>
              </w:rPr>
            </w:pPr>
            <w:r w:rsidRPr="00D20881">
              <w:rPr>
                <w:rFonts w:ascii="Arial" w:hAnsi="Arial" w:cs="Arial"/>
                <w:sz w:val="20"/>
                <w:szCs w:val="20"/>
              </w:rPr>
              <w:t>LIF1129</w:t>
            </w:r>
          </w:p>
        </w:tc>
        <w:tc>
          <w:tcPr>
            <w:tcW w:w="1701" w:type="dxa"/>
            <w:tcBorders>
              <w:bottom w:val="single" w:sz="4" w:space="0" w:color="auto"/>
            </w:tcBorders>
            <w:shd w:val="clear" w:color="auto" w:fill="auto"/>
            <w:vAlign w:val="center"/>
          </w:tcPr>
          <w:p w:rsidR="00D20881" w:rsidRPr="00D20881" w:rsidP="00D20881">
            <w:pPr>
              <w:jc w:val="center"/>
              <w:rPr>
                <w:rFonts w:ascii="Arial" w:hAnsi="Arial" w:cs="Arial"/>
                <w:sz w:val="20"/>
                <w:szCs w:val="20"/>
              </w:rPr>
            </w:pPr>
            <w:r w:rsidRPr="00D20881">
              <w:rPr>
                <w:rFonts w:ascii="Arial" w:hAnsi="Arial" w:cs="Arial"/>
                <w:sz w:val="20"/>
                <w:szCs w:val="20"/>
              </w:rPr>
              <w:t>Hyndburn Arts Limited</w:t>
            </w:r>
          </w:p>
        </w:tc>
        <w:tc>
          <w:tcPr>
            <w:tcW w:w="5387" w:type="dxa"/>
            <w:tcBorders>
              <w:bottom w:val="single" w:sz="4" w:space="0" w:color="auto"/>
            </w:tcBorders>
            <w:shd w:val="clear" w:color="auto" w:fill="auto"/>
            <w:vAlign w:val="center"/>
          </w:tcPr>
          <w:p w:rsidR="00D20881" w:rsidRPr="00D20881" w:rsidP="00D20881">
            <w:pPr>
              <w:tabs>
                <w:tab w:val="left" w:pos="3645"/>
              </w:tabs>
              <w:rPr>
                <w:rFonts w:ascii="Arial" w:hAnsi="Arial" w:cs="Arial"/>
                <w:b/>
                <w:sz w:val="20"/>
                <w:szCs w:val="20"/>
              </w:rPr>
            </w:pPr>
            <w:r w:rsidRPr="00D20881">
              <w:rPr>
                <w:rFonts w:ascii="Arial" w:eastAsia="Calibri" w:hAnsi="Arial" w:cs="Arial"/>
                <w:color w:val="000000"/>
                <w:sz w:val="20"/>
                <w:szCs w:val="20"/>
              </w:rPr>
              <w:t xml:space="preserve">The </w:t>
            </w:r>
            <w:r w:rsidRPr="00D20881">
              <w:rPr>
                <w:rFonts w:ascii="Arial" w:eastAsia="Calibri" w:hAnsi="Arial" w:cs="Arial"/>
                <w:color w:val="000000"/>
                <w:sz w:val="20"/>
                <w:szCs w:val="20"/>
              </w:rPr>
              <w:t>Gobbiners</w:t>
            </w:r>
            <w:r w:rsidRPr="00D20881">
              <w:rPr>
                <w:rFonts w:ascii="Arial" w:eastAsia="Calibri" w:hAnsi="Arial" w:cs="Arial"/>
                <w:color w:val="000000"/>
                <w:sz w:val="20"/>
                <w:szCs w:val="20"/>
              </w:rPr>
              <w:t xml:space="preserve"> Gallop is a fancy dress fun run/walk that we intend to hold in September 2017. This will be a community event that will bring people out to enjoy an activity together. At various points, instead of just having water stations we would like to put on activities and events. So, for example at one point we will have a silly photo booth. To be able to do this we will need props for the photo booth, plus we would need to build a photo booth and have a photographer on hand. At another point we will have a Mad </w:t>
            </w:r>
            <w:r>
              <w:rPr>
                <w:rFonts w:ascii="Arial" w:eastAsia="Calibri" w:hAnsi="Arial" w:cs="Arial"/>
                <w:color w:val="000000"/>
                <w:sz w:val="20"/>
                <w:szCs w:val="20"/>
              </w:rPr>
              <w:t>H</w:t>
            </w:r>
            <w:r w:rsidRPr="00D20881">
              <w:rPr>
                <w:rFonts w:ascii="Arial" w:eastAsia="Calibri" w:hAnsi="Arial" w:cs="Arial"/>
                <w:color w:val="000000"/>
                <w:sz w:val="20"/>
                <w:szCs w:val="20"/>
              </w:rPr>
              <w:t xml:space="preserve">atter's tea party. The Mad </w:t>
            </w:r>
            <w:r>
              <w:rPr>
                <w:rFonts w:ascii="Arial" w:eastAsia="Calibri" w:hAnsi="Arial" w:cs="Arial"/>
                <w:color w:val="000000"/>
                <w:sz w:val="20"/>
                <w:szCs w:val="20"/>
              </w:rPr>
              <w:t>H</w:t>
            </w:r>
            <w:r w:rsidRPr="00D20881">
              <w:rPr>
                <w:rFonts w:ascii="Arial" w:eastAsia="Calibri" w:hAnsi="Arial" w:cs="Arial"/>
                <w:color w:val="000000"/>
                <w:sz w:val="20"/>
                <w:szCs w:val="20"/>
              </w:rPr>
              <w:t>atter's tea party will need performers and staff. The performers will be volunteers but it will need a co-ordinator to manage the scripts and to rehearse with the actors over the few months prior to the event. At another point we will have a disco challenge. At the disco challenge we will need a DJ and a ‘dance floor’ hiring. These will be prepared in advance and managed on the day by young people aged 16 to 19.</w:t>
            </w:r>
          </w:p>
        </w:tc>
        <w:tc>
          <w:tcPr>
            <w:tcW w:w="1417" w:type="dxa"/>
            <w:tcBorders>
              <w:bottom w:val="single" w:sz="4" w:space="0" w:color="auto"/>
            </w:tcBorders>
            <w:shd w:val="clear" w:color="auto" w:fill="auto"/>
            <w:vAlign w:val="center"/>
          </w:tcPr>
          <w:p w:rsidR="00D20881" w:rsidRPr="00D20881" w:rsidP="00D20881">
            <w:pPr>
              <w:jc w:val="center"/>
              <w:rPr>
                <w:rFonts w:ascii="Arial" w:hAnsi="Arial" w:cs="Arial"/>
                <w:b/>
                <w:sz w:val="20"/>
                <w:szCs w:val="20"/>
              </w:rPr>
            </w:pPr>
            <w:r w:rsidRPr="00DA0E97">
              <w:rPr>
                <w:rFonts w:ascii="Arial" w:hAnsi="Arial" w:cs="Arial"/>
                <w:sz w:val="20"/>
                <w:szCs w:val="20"/>
              </w:rPr>
              <w:t>Activities and Programmes for Young People</w:t>
            </w:r>
          </w:p>
        </w:tc>
        <w:tc>
          <w:tcPr>
            <w:tcW w:w="1391" w:type="dxa"/>
            <w:tcBorders>
              <w:bottom w:val="single" w:sz="4" w:space="0" w:color="auto"/>
            </w:tcBorders>
            <w:vAlign w:val="center"/>
          </w:tcPr>
          <w:p w:rsidR="00D20881" w:rsidRPr="00D20881" w:rsidP="00D20881">
            <w:pPr>
              <w:jc w:val="center"/>
              <w:rPr>
                <w:rFonts w:ascii="Arial" w:hAnsi="Arial" w:cs="Arial"/>
                <w:sz w:val="20"/>
                <w:szCs w:val="20"/>
              </w:rPr>
            </w:pPr>
            <w:r w:rsidRPr="00D20881">
              <w:rPr>
                <w:rFonts w:ascii="Arial" w:hAnsi="Arial" w:cs="Arial"/>
                <w:sz w:val="20"/>
                <w:szCs w:val="20"/>
              </w:rPr>
              <w:t>£1,200</w:t>
            </w:r>
          </w:p>
        </w:tc>
        <w:tc>
          <w:tcPr>
            <w:tcW w:w="1444" w:type="dxa"/>
            <w:tcBorders>
              <w:bottom w:val="single" w:sz="4" w:space="0" w:color="auto"/>
            </w:tcBorders>
            <w:shd w:val="clear" w:color="auto" w:fill="auto"/>
            <w:vAlign w:val="center"/>
          </w:tcPr>
          <w:p w:rsidR="00D20881" w:rsidRPr="00D20881" w:rsidP="00D20881">
            <w:pPr>
              <w:jc w:val="center"/>
              <w:rPr>
                <w:rFonts w:ascii="Arial" w:hAnsi="Arial" w:cs="Arial"/>
                <w:sz w:val="20"/>
                <w:szCs w:val="20"/>
              </w:rPr>
            </w:pPr>
            <w:r w:rsidRPr="00D20881">
              <w:rPr>
                <w:rFonts w:ascii="Arial" w:hAnsi="Arial" w:cs="Arial"/>
                <w:sz w:val="20"/>
                <w:szCs w:val="20"/>
              </w:rPr>
              <w:t>£1,200</w:t>
            </w:r>
          </w:p>
        </w:tc>
        <w:tc>
          <w:tcPr>
            <w:tcW w:w="1985" w:type="dxa"/>
            <w:tcBorders>
              <w:bottom w:val="single" w:sz="4" w:space="0" w:color="auto"/>
            </w:tcBorders>
            <w:shd w:val="clear" w:color="auto" w:fill="auto"/>
            <w:vAlign w:val="center"/>
          </w:tcPr>
          <w:p w:rsidR="00D20881" w:rsidRPr="00D20881" w:rsidP="00D20881">
            <w:pPr>
              <w:jc w:val="center"/>
              <w:rPr>
                <w:rFonts w:ascii="Arial" w:hAnsi="Arial" w:cs="Arial"/>
                <w:sz w:val="20"/>
                <w:szCs w:val="20"/>
              </w:rPr>
            </w:pPr>
            <w:r>
              <w:rPr>
                <w:rFonts w:ascii="Arial" w:hAnsi="Arial" w:cs="Arial"/>
                <w:sz w:val="20"/>
                <w:szCs w:val="20"/>
              </w:rPr>
              <w:t>£0.00</w:t>
            </w:r>
          </w:p>
        </w:tc>
        <w:tc>
          <w:tcPr>
            <w:tcW w:w="1984" w:type="dxa"/>
            <w:tcBorders>
              <w:bottom w:val="single" w:sz="4" w:space="0" w:color="auto"/>
            </w:tcBorders>
            <w:shd w:val="clear" w:color="auto" w:fill="auto"/>
            <w:vAlign w:val="center"/>
          </w:tcPr>
          <w:p w:rsidR="00D20881" w:rsidRPr="00D20881" w:rsidP="00D20881">
            <w:pPr>
              <w:jc w:val="center"/>
              <w:rPr>
                <w:rFonts w:ascii="Arial" w:hAnsi="Arial" w:cs="Arial"/>
                <w:sz w:val="20"/>
                <w:szCs w:val="20"/>
              </w:rPr>
            </w:pPr>
            <w:r>
              <w:rPr>
                <w:rFonts w:ascii="Arial" w:hAnsi="Arial" w:cs="Arial"/>
                <w:sz w:val="20"/>
                <w:szCs w:val="20"/>
              </w:rPr>
              <w:t xml:space="preserve">Not recommended.  </w:t>
            </w:r>
            <w:r w:rsidRPr="007C5012">
              <w:rPr>
                <w:rFonts w:ascii="Arial" w:hAnsi="Arial" w:cs="Arial"/>
                <w:color w:val="000000" w:themeColor="text1"/>
                <w:sz w:val="20"/>
                <w:szCs w:val="20"/>
              </w:rPr>
              <w:t>The application did not meet the needs of the priority in this district.</w:t>
            </w:r>
          </w:p>
        </w:tc>
      </w:tr>
      <w:tr w:rsidTr="008E7D0F">
        <w:tblPrEx>
          <w:tblW w:w="16302" w:type="dxa"/>
          <w:tblInd w:w="-431" w:type="dxa"/>
          <w:tblLayout w:type="fixed"/>
          <w:tblLook w:val="04A0"/>
        </w:tblPrEx>
        <w:trPr>
          <w:trHeight w:val="597"/>
        </w:trPr>
        <w:tc>
          <w:tcPr>
            <w:tcW w:w="993" w:type="dxa"/>
            <w:shd w:val="clear" w:color="auto" w:fill="auto"/>
            <w:vAlign w:val="center"/>
          </w:tcPr>
          <w:p w:rsidR="00D20881" w:rsidRPr="00D20881" w:rsidP="00D20881">
            <w:pPr>
              <w:jc w:val="center"/>
              <w:rPr>
                <w:rFonts w:ascii="Arial" w:hAnsi="Arial" w:cs="Arial"/>
                <w:sz w:val="20"/>
                <w:szCs w:val="20"/>
              </w:rPr>
            </w:pPr>
            <w:r w:rsidRPr="00D20881">
              <w:rPr>
                <w:rFonts w:ascii="Arial" w:hAnsi="Arial" w:cs="Arial"/>
                <w:sz w:val="20"/>
                <w:szCs w:val="20"/>
              </w:rPr>
              <w:t>LIF1131</w:t>
            </w:r>
          </w:p>
        </w:tc>
        <w:tc>
          <w:tcPr>
            <w:tcW w:w="1701" w:type="dxa"/>
            <w:shd w:val="clear" w:color="auto" w:fill="auto"/>
            <w:vAlign w:val="center"/>
          </w:tcPr>
          <w:p w:rsidR="00D20881" w:rsidRPr="00D20881" w:rsidP="00D20881">
            <w:pPr>
              <w:jc w:val="center"/>
              <w:rPr>
                <w:rFonts w:ascii="Arial" w:hAnsi="Arial" w:cs="Arial"/>
                <w:sz w:val="20"/>
                <w:szCs w:val="20"/>
              </w:rPr>
            </w:pPr>
            <w:r w:rsidRPr="00D20881">
              <w:rPr>
                <w:rFonts w:ascii="Arial" w:hAnsi="Arial" w:cs="Arial"/>
                <w:sz w:val="20"/>
                <w:szCs w:val="20"/>
              </w:rPr>
              <w:t>Relate Lancashire</w:t>
            </w:r>
          </w:p>
        </w:tc>
        <w:tc>
          <w:tcPr>
            <w:tcW w:w="5387" w:type="dxa"/>
            <w:shd w:val="clear" w:color="auto" w:fill="auto"/>
            <w:vAlign w:val="center"/>
          </w:tcPr>
          <w:p w:rsidR="00D20881" w:rsidRPr="00D20881" w:rsidP="00D20881">
            <w:pPr>
              <w:rPr>
                <w:rFonts w:ascii="Arial" w:hAnsi="Arial" w:cs="Arial"/>
                <w:b/>
                <w:sz w:val="20"/>
                <w:szCs w:val="20"/>
              </w:rPr>
            </w:pPr>
            <w:r w:rsidRPr="00D20881">
              <w:rPr>
                <w:rFonts w:ascii="Arial" w:eastAsia="Calibri" w:hAnsi="Arial" w:cs="Arial"/>
                <w:color w:val="000000"/>
                <w:sz w:val="20"/>
                <w:szCs w:val="20"/>
              </w:rPr>
              <w:t>The Pilot programme will take on referrals from GP’s practices and provide intensive whole family support over a 10 week period, this support could include 1-2-1 counselling, relationship counselling, family counselling, young people’s counselling and sign posting to other support services. We aim to offer everyone that approaches us an initial appointment within two weeks of their making contact. As a rule we provide each individual/couple/family with sessions lasting one hour each, though this is flexible depending on need. Our counsellors are trained to deal with a broad scope of relationship issues, ranging from how to manage a break up constructively to strengthening a marriage and sex therapy, family and young people’s counselling. The funding will be used to pay the Counselling Costs and accommodation.</w:t>
            </w:r>
          </w:p>
        </w:tc>
        <w:tc>
          <w:tcPr>
            <w:tcW w:w="1417" w:type="dxa"/>
            <w:shd w:val="clear" w:color="auto" w:fill="auto"/>
            <w:vAlign w:val="center"/>
          </w:tcPr>
          <w:p w:rsidR="00D20881" w:rsidRPr="00D20881" w:rsidP="00D20881">
            <w:pPr>
              <w:jc w:val="center"/>
              <w:rPr>
                <w:rFonts w:ascii="Arial" w:hAnsi="Arial" w:cs="Arial"/>
                <w:b/>
                <w:sz w:val="20"/>
                <w:szCs w:val="20"/>
              </w:rPr>
            </w:pPr>
            <w:r w:rsidRPr="00D20881">
              <w:rPr>
                <w:rFonts w:ascii="Arial" w:hAnsi="Arial" w:cs="Arial"/>
                <w:sz w:val="20"/>
                <w:szCs w:val="20"/>
              </w:rPr>
              <w:t>Total Family</w:t>
            </w:r>
          </w:p>
        </w:tc>
        <w:tc>
          <w:tcPr>
            <w:tcW w:w="1391" w:type="dxa"/>
            <w:vAlign w:val="center"/>
          </w:tcPr>
          <w:p w:rsidR="00D20881" w:rsidRPr="00D20881" w:rsidP="00D20881">
            <w:pPr>
              <w:jc w:val="center"/>
              <w:rPr>
                <w:rFonts w:ascii="Arial" w:hAnsi="Arial" w:cs="Arial"/>
                <w:sz w:val="20"/>
                <w:szCs w:val="20"/>
              </w:rPr>
            </w:pPr>
            <w:r>
              <w:rPr>
                <w:rFonts w:ascii="Arial" w:hAnsi="Arial" w:cs="Arial"/>
                <w:sz w:val="20"/>
                <w:szCs w:val="20"/>
              </w:rPr>
              <w:t>£2,387</w:t>
            </w:r>
          </w:p>
        </w:tc>
        <w:tc>
          <w:tcPr>
            <w:tcW w:w="1444" w:type="dxa"/>
            <w:shd w:val="clear" w:color="auto" w:fill="auto"/>
            <w:vAlign w:val="center"/>
          </w:tcPr>
          <w:p w:rsidR="00D20881" w:rsidRPr="00D20881" w:rsidP="00D20881">
            <w:pPr>
              <w:jc w:val="center"/>
              <w:rPr>
                <w:rFonts w:ascii="Arial" w:hAnsi="Arial" w:cs="Arial"/>
                <w:sz w:val="20"/>
                <w:szCs w:val="20"/>
              </w:rPr>
            </w:pPr>
            <w:r w:rsidRPr="00D20881">
              <w:rPr>
                <w:rFonts w:ascii="Arial" w:hAnsi="Arial" w:cs="Arial"/>
                <w:sz w:val="20"/>
                <w:szCs w:val="20"/>
              </w:rPr>
              <w:t>£1,600</w:t>
            </w:r>
          </w:p>
        </w:tc>
        <w:tc>
          <w:tcPr>
            <w:tcW w:w="1985" w:type="dxa"/>
            <w:shd w:val="clear" w:color="auto" w:fill="auto"/>
            <w:vAlign w:val="center"/>
          </w:tcPr>
          <w:p w:rsidR="00D20881" w:rsidRPr="00D20881" w:rsidP="00D20881">
            <w:pPr>
              <w:jc w:val="center"/>
              <w:rPr>
                <w:rFonts w:ascii="Arial" w:hAnsi="Arial" w:cs="Arial"/>
                <w:sz w:val="20"/>
                <w:szCs w:val="20"/>
              </w:rPr>
            </w:pPr>
            <w:r>
              <w:rPr>
                <w:rFonts w:ascii="Arial" w:hAnsi="Arial" w:cs="Arial"/>
                <w:sz w:val="20"/>
                <w:szCs w:val="20"/>
              </w:rPr>
              <w:t>£1,600</w:t>
            </w:r>
          </w:p>
        </w:tc>
        <w:tc>
          <w:tcPr>
            <w:tcW w:w="1984" w:type="dxa"/>
            <w:shd w:val="clear" w:color="auto" w:fill="auto"/>
            <w:vAlign w:val="center"/>
          </w:tcPr>
          <w:p w:rsidR="00AA1183" w:rsidRPr="00DA0E97" w:rsidP="00AA1183">
            <w:pPr>
              <w:jc w:val="center"/>
              <w:rPr>
                <w:rFonts w:ascii="Arial" w:hAnsi="Arial" w:cs="Arial"/>
                <w:sz w:val="20"/>
                <w:szCs w:val="20"/>
              </w:rPr>
            </w:pPr>
            <w:r w:rsidRPr="00DA0E97">
              <w:rPr>
                <w:rFonts w:ascii="Arial" w:hAnsi="Arial" w:cs="Arial"/>
                <w:sz w:val="20"/>
                <w:szCs w:val="20"/>
              </w:rPr>
              <w:t>Recommended in full.</w:t>
            </w:r>
          </w:p>
          <w:p w:rsidR="00AA1183" w:rsidRPr="00DA0E97" w:rsidP="00AA1183">
            <w:pPr>
              <w:jc w:val="center"/>
              <w:rPr>
                <w:rFonts w:ascii="Arial" w:hAnsi="Arial" w:cs="Arial"/>
                <w:sz w:val="20"/>
                <w:szCs w:val="20"/>
              </w:rPr>
            </w:pPr>
          </w:p>
          <w:p w:rsidR="00D20881" w:rsidP="00AA1183">
            <w:pPr>
              <w:jc w:val="center"/>
              <w:rPr>
                <w:rFonts w:ascii="Arial" w:hAnsi="Arial" w:cs="Arial"/>
                <w:sz w:val="20"/>
                <w:szCs w:val="20"/>
              </w:rPr>
            </w:pPr>
            <w:r w:rsidRPr="00DA0E97">
              <w:rPr>
                <w:rFonts w:ascii="Arial" w:hAnsi="Arial" w:cs="Arial"/>
                <w:sz w:val="20"/>
                <w:szCs w:val="20"/>
              </w:rPr>
              <w:t>Funding subject to financial clearance</w:t>
            </w:r>
            <w:r w:rsidR="0049524A">
              <w:rPr>
                <w:rFonts w:ascii="Arial" w:hAnsi="Arial" w:cs="Arial"/>
                <w:sz w:val="20"/>
                <w:szCs w:val="20"/>
              </w:rPr>
              <w:t>.</w:t>
            </w:r>
          </w:p>
          <w:p w:rsidR="0049524A" w:rsidP="00AA1183">
            <w:pPr>
              <w:jc w:val="center"/>
              <w:rPr>
                <w:rFonts w:ascii="Arial" w:hAnsi="Arial" w:cs="Arial"/>
                <w:sz w:val="20"/>
                <w:szCs w:val="20"/>
              </w:rPr>
            </w:pPr>
          </w:p>
          <w:p w:rsidR="0049524A" w:rsidRPr="00D20881" w:rsidP="00AA1183">
            <w:pPr>
              <w:jc w:val="center"/>
              <w:rPr>
                <w:rFonts w:ascii="Arial" w:hAnsi="Arial" w:cs="Arial"/>
                <w:sz w:val="20"/>
                <w:szCs w:val="20"/>
              </w:rPr>
            </w:pPr>
            <w:r>
              <w:rPr>
                <w:rFonts w:ascii="Arial" w:hAnsi="Arial" w:cs="Arial"/>
                <w:sz w:val="20"/>
                <w:szCs w:val="20"/>
              </w:rPr>
              <w:t xml:space="preserve">Application to be linked back to </w:t>
            </w:r>
            <w:r w:rsidRPr="00DE7706">
              <w:rPr>
                <w:rFonts w:ascii="Arial" w:hAnsi="Arial" w:cs="Arial"/>
                <w:sz w:val="20"/>
                <w:szCs w:val="20"/>
              </w:rPr>
              <w:t>Wellbeing, Prevention and Early Help Service (WPEH) in relation to TFU (Troubled Family Unit) targets</w:t>
            </w:r>
            <w:r>
              <w:rPr>
                <w:rFonts w:ascii="Arial" w:hAnsi="Arial" w:cs="Arial"/>
                <w:sz w:val="20"/>
                <w:szCs w:val="20"/>
              </w:rPr>
              <w:t>.</w:t>
            </w:r>
          </w:p>
        </w:tc>
      </w:tr>
      <w:tr w:rsidTr="008E7D0F">
        <w:tblPrEx>
          <w:tblW w:w="16302" w:type="dxa"/>
          <w:tblInd w:w="-431" w:type="dxa"/>
          <w:tblLayout w:type="fixed"/>
          <w:tblLook w:val="04A0"/>
        </w:tblPrEx>
        <w:trPr>
          <w:trHeight w:val="597"/>
        </w:trPr>
        <w:tc>
          <w:tcPr>
            <w:tcW w:w="993" w:type="dxa"/>
            <w:shd w:val="clear" w:color="auto" w:fill="auto"/>
            <w:vAlign w:val="center"/>
          </w:tcPr>
          <w:p w:rsidR="00D20881" w:rsidRPr="00D20881" w:rsidP="00D20881">
            <w:pPr>
              <w:jc w:val="center"/>
              <w:rPr>
                <w:rFonts w:ascii="Arial" w:hAnsi="Arial" w:cs="Arial"/>
                <w:sz w:val="20"/>
                <w:szCs w:val="20"/>
              </w:rPr>
            </w:pPr>
            <w:r w:rsidRPr="00D20881">
              <w:rPr>
                <w:rFonts w:ascii="Arial" w:hAnsi="Arial" w:cs="Arial"/>
                <w:sz w:val="20"/>
                <w:szCs w:val="20"/>
              </w:rPr>
              <w:t>LIF1134</w:t>
            </w:r>
          </w:p>
        </w:tc>
        <w:tc>
          <w:tcPr>
            <w:tcW w:w="1701" w:type="dxa"/>
            <w:shd w:val="clear" w:color="auto" w:fill="auto"/>
            <w:vAlign w:val="center"/>
          </w:tcPr>
          <w:p w:rsidR="00D20881" w:rsidRPr="00D20881" w:rsidP="00D20881">
            <w:pPr>
              <w:jc w:val="center"/>
              <w:rPr>
                <w:rFonts w:ascii="Arial" w:hAnsi="Arial" w:cs="Arial"/>
                <w:sz w:val="20"/>
                <w:szCs w:val="20"/>
              </w:rPr>
            </w:pPr>
            <w:r w:rsidRPr="00D20881">
              <w:rPr>
                <w:rFonts w:ascii="Arial" w:hAnsi="Arial" w:cs="Arial"/>
                <w:sz w:val="20"/>
                <w:szCs w:val="20"/>
              </w:rPr>
              <w:t>The Love and Etiquette Foundation</w:t>
            </w:r>
          </w:p>
        </w:tc>
        <w:tc>
          <w:tcPr>
            <w:tcW w:w="5387" w:type="dxa"/>
            <w:shd w:val="clear" w:color="auto" w:fill="auto"/>
            <w:vAlign w:val="center"/>
          </w:tcPr>
          <w:p w:rsidR="00D20881" w:rsidRPr="00D20881" w:rsidP="00D20881">
            <w:pPr>
              <w:pStyle w:val="Default"/>
              <w:rPr>
                <w:b/>
                <w:sz w:val="20"/>
                <w:szCs w:val="20"/>
              </w:rPr>
            </w:pPr>
            <w:r w:rsidRPr="00D20881">
              <w:rPr>
                <w:rFonts w:eastAsia="Calibri"/>
                <w:sz w:val="20"/>
                <w:szCs w:val="20"/>
                <w:lang w:val="en-GB"/>
              </w:rPr>
              <w:t>Our aim is to develop a monthly program for BAME and non-BAME young people (aged 16-25) to create a Spoken Word Poetry Collective and Performances incorporating positive social messages and locally relevant social community groups. We will develop and deliver a series of 6 intense one-day creative workshops over 6 months in Pendle to empower and up-skill BAME and non BAME young people aged between 16-25 to form a sustainable poetry collective for young people that shapes future talent and production of written and spoken literature in East Lancashire.</w:t>
            </w:r>
          </w:p>
        </w:tc>
        <w:tc>
          <w:tcPr>
            <w:tcW w:w="1417" w:type="dxa"/>
            <w:shd w:val="clear" w:color="auto" w:fill="auto"/>
            <w:vAlign w:val="center"/>
          </w:tcPr>
          <w:p w:rsidR="00D20881" w:rsidRPr="00D20881" w:rsidP="00D20881">
            <w:pPr>
              <w:jc w:val="center"/>
              <w:rPr>
                <w:rFonts w:ascii="Arial" w:hAnsi="Arial" w:cs="Arial"/>
                <w:b/>
                <w:sz w:val="20"/>
                <w:szCs w:val="20"/>
              </w:rPr>
            </w:pPr>
            <w:r w:rsidRPr="00DA0E97">
              <w:rPr>
                <w:rFonts w:ascii="Arial" w:hAnsi="Arial" w:cs="Arial"/>
                <w:sz w:val="20"/>
                <w:szCs w:val="20"/>
              </w:rPr>
              <w:t>Activities and Programmes for Young People</w:t>
            </w:r>
          </w:p>
        </w:tc>
        <w:tc>
          <w:tcPr>
            <w:tcW w:w="1391" w:type="dxa"/>
            <w:vAlign w:val="center"/>
          </w:tcPr>
          <w:p w:rsidR="00D20881" w:rsidRPr="00D20881" w:rsidP="00D20881">
            <w:pPr>
              <w:jc w:val="center"/>
              <w:rPr>
                <w:rFonts w:ascii="Arial" w:hAnsi="Arial" w:cs="Arial"/>
                <w:sz w:val="20"/>
                <w:szCs w:val="20"/>
              </w:rPr>
            </w:pPr>
            <w:r>
              <w:rPr>
                <w:rFonts w:ascii="Arial" w:hAnsi="Arial" w:cs="Arial"/>
                <w:sz w:val="20"/>
                <w:szCs w:val="20"/>
              </w:rPr>
              <w:t>£3,734.70</w:t>
            </w:r>
          </w:p>
        </w:tc>
        <w:tc>
          <w:tcPr>
            <w:tcW w:w="1444" w:type="dxa"/>
            <w:shd w:val="clear" w:color="auto" w:fill="auto"/>
            <w:vAlign w:val="center"/>
          </w:tcPr>
          <w:p w:rsidR="00D20881" w:rsidRPr="00D20881" w:rsidP="00D20881">
            <w:pPr>
              <w:jc w:val="center"/>
              <w:rPr>
                <w:rFonts w:ascii="Arial" w:hAnsi="Arial" w:cs="Arial"/>
                <w:sz w:val="20"/>
                <w:szCs w:val="20"/>
              </w:rPr>
            </w:pPr>
            <w:r w:rsidRPr="00D20881">
              <w:rPr>
                <w:rFonts w:ascii="Arial" w:hAnsi="Arial" w:cs="Arial"/>
                <w:sz w:val="20"/>
                <w:szCs w:val="20"/>
              </w:rPr>
              <w:t>£3,000</w:t>
            </w:r>
          </w:p>
        </w:tc>
        <w:tc>
          <w:tcPr>
            <w:tcW w:w="1985" w:type="dxa"/>
            <w:shd w:val="clear" w:color="auto" w:fill="auto"/>
            <w:vAlign w:val="center"/>
          </w:tcPr>
          <w:p w:rsidR="00D20881" w:rsidRPr="00D20881" w:rsidP="00D20881">
            <w:pPr>
              <w:jc w:val="center"/>
              <w:rPr>
                <w:rFonts w:ascii="Arial" w:hAnsi="Arial" w:cs="Arial"/>
                <w:sz w:val="20"/>
                <w:szCs w:val="20"/>
              </w:rPr>
            </w:pPr>
            <w:r>
              <w:rPr>
                <w:rFonts w:ascii="Arial" w:hAnsi="Arial" w:cs="Arial"/>
                <w:sz w:val="20"/>
                <w:szCs w:val="20"/>
              </w:rPr>
              <w:t>£0.00</w:t>
            </w:r>
          </w:p>
        </w:tc>
        <w:tc>
          <w:tcPr>
            <w:tcW w:w="1984" w:type="dxa"/>
            <w:shd w:val="clear" w:color="auto" w:fill="auto"/>
            <w:vAlign w:val="center"/>
          </w:tcPr>
          <w:p w:rsidR="00D20881" w:rsidP="00D20881">
            <w:pPr>
              <w:jc w:val="center"/>
              <w:rPr>
                <w:rFonts w:ascii="Arial" w:hAnsi="Arial" w:cs="Arial"/>
                <w:sz w:val="20"/>
                <w:szCs w:val="20"/>
              </w:rPr>
            </w:pPr>
            <w:r w:rsidRPr="00DA0E97">
              <w:rPr>
                <w:rFonts w:ascii="Arial" w:hAnsi="Arial" w:cs="Arial"/>
                <w:sz w:val="20"/>
                <w:szCs w:val="20"/>
              </w:rPr>
              <w:t>Not recommended</w:t>
            </w:r>
            <w:r>
              <w:rPr>
                <w:rFonts w:ascii="Arial" w:hAnsi="Arial" w:cs="Arial"/>
                <w:sz w:val="20"/>
                <w:szCs w:val="20"/>
              </w:rPr>
              <w:t>.</w:t>
            </w:r>
          </w:p>
          <w:p w:rsidR="007C5012" w:rsidRPr="007C5012" w:rsidP="00D20881">
            <w:pPr>
              <w:jc w:val="center"/>
              <w:rPr>
                <w:rFonts w:ascii="Arial" w:hAnsi="Arial" w:cs="Arial"/>
                <w:sz w:val="20"/>
                <w:szCs w:val="20"/>
              </w:rPr>
            </w:pPr>
            <w:r w:rsidRPr="007C5012">
              <w:rPr>
                <w:rFonts w:ascii="Arial" w:hAnsi="Arial" w:cs="Arial"/>
                <w:color w:val="000000" w:themeColor="text1"/>
                <w:sz w:val="20"/>
                <w:szCs w:val="20"/>
              </w:rPr>
              <w:t>The application did not meet the needs of the priority in this district.</w:t>
            </w:r>
          </w:p>
        </w:tc>
      </w:tr>
      <w:tr w:rsidTr="008E7D0F">
        <w:tblPrEx>
          <w:tblW w:w="16302" w:type="dxa"/>
          <w:tblInd w:w="-431" w:type="dxa"/>
          <w:tblLayout w:type="fixed"/>
          <w:tblLook w:val="04A0"/>
        </w:tblPrEx>
        <w:trPr>
          <w:trHeight w:val="597"/>
        </w:trPr>
        <w:tc>
          <w:tcPr>
            <w:tcW w:w="993" w:type="dxa"/>
            <w:shd w:val="clear" w:color="auto" w:fill="auto"/>
            <w:vAlign w:val="center"/>
          </w:tcPr>
          <w:p w:rsidR="00D20881" w:rsidRPr="00D20881" w:rsidP="00D20881">
            <w:pPr>
              <w:jc w:val="center"/>
              <w:rPr>
                <w:rFonts w:ascii="Arial" w:hAnsi="Arial" w:cs="Arial"/>
                <w:sz w:val="20"/>
                <w:szCs w:val="20"/>
              </w:rPr>
            </w:pPr>
            <w:r w:rsidRPr="00D20881">
              <w:rPr>
                <w:rFonts w:ascii="Arial" w:hAnsi="Arial" w:cs="Arial"/>
                <w:sz w:val="20"/>
                <w:szCs w:val="20"/>
              </w:rPr>
              <w:t>LIF1138</w:t>
            </w:r>
          </w:p>
        </w:tc>
        <w:tc>
          <w:tcPr>
            <w:tcW w:w="1701" w:type="dxa"/>
            <w:shd w:val="clear" w:color="auto" w:fill="auto"/>
            <w:vAlign w:val="center"/>
          </w:tcPr>
          <w:p w:rsidR="00D20881" w:rsidRPr="00D20881" w:rsidP="00D20881">
            <w:pPr>
              <w:jc w:val="center"/>
              <w:rPr>
                <w:rFonts w:ascii="Arial" w:hAnsi="Arial" w:cs="Arial"/>
                <w:sz w:val="20"/>
                <w:szCs w:val="20"/>
              </w:rPr>
            </w:pPr>
            <w:r w:rsidRPr="00D20881">
              <w:rPr>
                <w:rFonts w:ascii="Arial" w:hAnsi="Arial" w:cs="Arial"/>
                <w:sz w:val="20"/>
                <w:szCs w:val="20"/>
              </w:rPr>
              <w:t>Carers Link Lancashire</w:t>
            </w:r>
          </w:p>
        </w:tc>
        <w:tc>
          <w:tcPr>
            <w:tcW w:w="5387" w:type="dxa"/>
            <w:shd w:val="clear" w:color="auto" w:fill="auto"/>
            <w:vAlign w:val="center"/>
          </w:tcPr>
          <w:p w:rsidR="00D20881" w:rsidRPr="00D20881" w:rsidP="00D20881">
            <w:pPr>
              <w:tabs>
                <w:tab w:val="left" w:pos="6765"/>
              </w:tabs>
              <w:spacing w:line="260" w:lineRule="exact"/>
              <w:ind w:right="126"/>
              <w:rPr>
                <w:rFonts w:ascii="Arial" w:eastAsia="Calibri" w:hAnsi="Arial" w:cs="Arial"/>
                <w:color w:val="000000"/>
                <w:sz w:val="20"/>
                <w:szCs w:val="20"/>
              </w:rPr>
            </w:pPr>
            <w:r w:rsidRPr="00D20881">
              <w:rPr>
                <w:rFonts w:ascii="Arial" w:eastAsia="Calibri" w:hAnsi="Arial" w:cs="Arial"/>
                <w:color w:val="000000"/>
                <w:sz w:val="20"/>
                <w:szCs w:val="20"/>
              </w:rPr>
              <w:t xml:space="preserve">This project will provide young carers aged between 12-18 years, from Hyndburn, the opportunity to take part in a week long Acrobatic Project during half term. The project will offer a structured sporting programme of acrobatic/ gymnastics for young carers to engage and participate in. The funds will be used to hire </w:t>
            </w:r>
            <w:r w:rsidRPr="00D20881">
              <w:rPr>
                <w:rFonts w:ascii="Arial" w:eastAsia="Calibri" w:hAnsi="Arial" w:cs="Arial"/>
                <w:color w:val="000000"/>
                <w:sz w:val="20"/>
                <w:szCs w:val="20"/>
              </w:rPr>
              <w:t>Ribble</w:t>
            </w:r>
            <w:r w:rsidRPr="00D20881">
              <w:rPr>
                <w:rFonts w:ascii="Arial" w:eastAsia="Calibri" w:hAnsi="Arial" w:cs="Arial"/>
                <w:color w:val="000000"/>
                <w:sz w:val="20"/>
                <w:szCs w:val="20"/>
              </w:rPr>
              <w:t xml:space="preserve"> Valley Acrobatic Academy, transport, Replacement Care and food and refreshments.</w:t>
            </w:r>
          </w:p>
        </w:tc>
        <w:tc>
          <w:tcPr>
            <w:tcW w:w="1417" w:type="dxa"/>
            <w:shd w:val="clear" w:color="auto" w:fill="auto"/>
            <w:vAlign w:val="center"/>
          </w:tcPr>
          <w:p w:rsidR="00D20881" w:rsidRPr="00D20881" w:rsidP="00D20881">
            <w:pPr>
              <w:jc w:val="center"/>
              <w:rPr>
                <w:rFonts w:ascii="Arial" w:hAnsi="Arial" w:cs="Arial"/>
                <w:b/>
                <w:sz w:val="20"/>
                <w:szCs w:val="20"/>
              </w:rPr>
            </w:pPr>
            <w:r w:rsidRPr="00DA0E97">
              <w:rPr>
                <w:rFonts w:ascii="Arial" w:hAnsi="Arial" w:cs="Arial"/>
                <w:sz w:val="20"/>
                <w:szCs w:val="20"/>
              </w:rPr>
              <w:t>Activities and Programmes for Young People</w:t>
            </w:r>
          </w:p>
        </w:tc>
        <w:tc>
          <w:tcPr>
            <w:tcW w:w="1391" w:type="dxa"/>
            <w:vAlign w:val="center"/>
          </w:tcPr>
          <w:p w:rsidR="00D20881" w:rsidRPr="00D20881" w:rsidP="00D20881">
            <w:pPr>
              <w:jc w:val="center"/>
              <w:rPr>
                <w:rFonts w:ascii="Arial" w:hAnsi="Arial" w:cs="Arial"/>
                <w:sz w:val="20"/>
                <w:szCs w:val="20"/>
              </w:rPr>
            </w:pPr>
            <w:r>
              <w:rPr>
                <w:rFonts w:ascii="Arial" w:hAnsi="Arial" w:cs="Arial"/>
                <w:sz w:val="20"/>
                <w:szCs w:val="20"/>
              </w:rPr>
              <w:t>£1,920</w:t>
            </w:r>
          </w:p>
        </w:tc>
        <w:tc>
          <w:tcPr>
            <w:tcW w:w="1444" w:type="dxa"/>
            <w:shd w:val="clear" w:color="auto" w:fill="auto"/>
            <w:vAlign w:val="center"/>
          </w:tcPr>
          <w:p w:rsidR="00D20881" w:rsidRPr="00D20881" w:rsidP="00D20881">
            <w:pPr>
              <w:jc w:val="center"/>
              <w:rPr>
                <w:rFonts w:ascii="Arial" w:hAnsi="Arial" w:cs="Arial"/>
                <w:sz w:val="20"/>
                <w:szCs w:val="20"/>
              </w:rPr>
            </w:pPr>
            <w:r w:rsidRPr="00D20881">
              <w:rPr>
                <w:rFonts w:ascii="Arial" w:hAnsi="Arial" w:cs="Arial"/>
                <w:sz w:val="20"/>
                <w:szCs w:val="20"/>
              </w:rPr>
              <w:t>£1,920</w:t>
            </w:r>
          </w:p>
        </w:tc>
        <w:tc>
          <w:tcPr>
            <w:tcW w:w="1985" w:type="dxa"/>
            <w:shd w:val="clear" w:color="auto" w:fill="auto"/>
            <w:vAlign w:val="center"/>
          </w:tcPr>
          <w:p w:rsidR="00D20881" w:rsidRPr="00D20881" w:rsidP="00D20881">
            <w:pPr>
              <w:jc w:val="center"/>
              <w:rPr>
                <w:rFonts w:ascii="Arial" w:hAnsi="Arial" w:cs="Arial"/>
                <w:sz w:val="20"/>
                <w:szCs w:val="20"/>
              </w:rPr>
            </w:pPr>
            <w:r>
              <w:rPr>
                <w:rFonts w:ascii="Arial" w:hAnsi="Arial" w:cs="Arial"/>
                <w:sz w:val="20"/>
                <w:szCs w:val="20"/>
              </w:rPr>
              <w:t>£1,920</w:t>
            </w:r>
          </w:p>
        </w:tc>
        <w:tc>
          <w:tcPr>
            <w:tcW w:w="1984" w:type="dxa"/>
            <w:shd w:val="clear" w:color="auto" w:fill="auto"/>
            <w:vAlign w:val="center"/>
          </w:tcPr>
          <w:p w:rsidR="00AB7858" w:rsidRPr="00DA0E97" w:rsidP="00AB7858">
            <w:pPr>
              <w:jc w:val="center"/>
              <w:rPr>
                <w:rFonts w:ascii="Arial" w:hAnsi="Arial" w:cs="Arial"/>
                <w:sz w:val="20"/>
                <w:szCs w:val="20"/>
              </w:rPr>
            </w:pPr>
            <w:r w:rsidRPr="00DA0E97">
              <w:rPr>
                <w:rFonts w:ascii="Arial" w:hAnsi="Arial" w:cs="Arial"/>
                <w:sz w:val="20"/>
                <w:szCs w:val="20"/>
              </w:rPr>
              <w:t>Recommended in full.</w:t>
            </w:r>
          </w:p>
          <w:p w:rsidR="00AB7858" w:rsidRPr="00DA0E97" w:rsidP="00AB7858">
            <w:pPr>
              <w:jc w:val="center"/>
              <w:rPr>
                <w:rFonts w:ascii="Arial" w:hAnsi="Arial" w:cs="Arial"/>
                <w:sz w:val="20"/>
                <w:szCs w:val="20"/>
              </w:rPr>
            </w:pPr>
          </w:p>
          <w:p w:rsidR="00D20881" w:rsidRPr="00D20881" w:rsidP="00AB7858">
            <w:pPr>
              <w:jc w:val="center"/>
              <w:rPr>
                <w:rFonts w:ascii="Arial" w:hAnsi="Arial" w:cs="Arial"/>
                <w:sz w:val="20"/>
                <w:szCs w:val="20"/>
              </w:rPr>
            </w:pPr>
            <w:r w:rsidRPr="00DA0E97">
              <w:rPr>
                <w:rFonts w:ascii="Arial" w:hAnsi="Arial" w:cs="Arial"/>
                <w:sz w:val="20"/>
                <w:szCs w:val="20"/>
              </w:rPr>
              <w:t>Funding subject to financial clearance</w:t>
            </w:r>
            <w:r w:rsidR="0049524A">
              <w:rPr>
                <w:rFonts w:ascii="Arial" w:hAnsi="Arial" w:cs="Arial"/>
                <w:sz w:val="20"/>
                <w:szCs w:val="20"/>
              </w:rPr>
              <w:t>.</w:t>
            </w:r>
          </w:p>
        </w:tc>
      </w:tr>
      <w:tr w:rsidTr="008E7D0F">
        <w:tblPrEx>
          <w:tblW w:w="16302" w:type="dxa"/>
          <w:tblInd w:w="-431" w:type="dxa"/>
          <w:tblLayout w:type="fixed"/>
          <w:tblLook w:val="04A0"/>
        </w:tblPrEx>
        <w:trPr>
          <w:trHeight w:val="597"/>
        </w:trPr>
        <w:tc>
          <w:tcPr>
            <w:tcW w:w="993" w:type="dxa"/>
            <w:shd w:val="clear" w:color="auto" w:fill="auto"/>
            <w:vAlign w:val="center"/>
          </w:tcPr>
          <w:p w:rsidR="00D20881" w:rsidRPr="00D20881" w:rsidP="00D20881">
            <w:pPr>
              <w:jc w:val="center"/>
              <w:rPr>
                <w:rFonts w:ascii="Arial" w:hAnsi="Arial" w:cs="Arial"/>
                <w:sz w:val="20"/>
                <w:szCs w:val="20"/>
              </w:rPr>
            </w:pPr>
            <w:r w:rsidRPr="00D20881">
              <w:rPr>
                <w:rFonts w:ascii="Arial" w:hAnsi="Arial" w:cs="Arial"/>
                <w:sz w:val="20"/>
                <w:szCs w:val="20"/>
              </w:rPr>
              <w:t>LIF1139</w:t>
            </w:r>
          </w:p>
        </w:tc>
        <w:tc>
          <w:tcPr>
            <w:tcW w:w="1701" w:type="dxa"/>
            <w:shd w:val="clear" w:color="auto" w:fill="auto"/>
            <w:vAlign w:val="center"/>
          </w:tcPr>
          <w:p w:rsidR="00D20881" w:rsidRPr="00D20881" w:rsidP="00D20881">
            <w:pPr>
              <w:jc w:val="center"/>
              <w:rPr>
                <w:rFonts w:ascii="Arial" w:hAnsi="Arial" w:cs="Arial"/>
                <w:sz w:val="20"/>
                <w:szCs w:val="20"/>
              </w:rPr>
            </w:pPr>
            <w:r w:rsidRPr="00D20881">
              <w:rPr>
                <w:rFonts w:ascii="Arial" w:hAnsi="Arial" w:cs="Arial"/>
                <w:sz w:val="20"/>
                <w:szCs w:val="20"/>
              </w:rPr>
              <w:t>Bahja</w:t>
            </w:r>
            <w:r w:rsidRPr="00D20881">
              <w:rPr>
                <w:rFonts w:ascii="Arial" w:hAnsi="Arial" w:cs="Arial"/>
                <w:sz w:val="20"/>
                <w:szCs w:val="20"/>
              </w:rPr>
              <w:t xml:space="preserve"> Initiative</w:t>
            </w:r>
          </w:p>
        </w:tc>
        <w:tc>
          <w:tcPr>
            <w:tcW w:w="5387" w:type="dxa"/>
            <w:shd w:val="clear" w:color="auto" w:fill="auto"/>
            <w:vAlign w:val="center"/>
          </w:tcPr>
          <w:p w:rsidR="00D20881" w:rsidRPr="00D20881" w:rsidP="00D20881">
            <w:pPr>
              <w:tabs>
                <w:tab w:val="left" w:pos="3645"/>
              </w:tabs>
              <w:rPr>
                <w:rFonts w:ascii="Arial" w:eastAsia="Calibri" w:hAnsi="Arial" w:cs="Arial"/>
                <w:color w:val="000000"/>
                <w:sz w:val="20"/>
                <w:szCs w:val="20"/>
              </w:rPr>
            </w:pPr>
            <w:r w:rsidRPr="00D20881">
              <w:rPr>
                <w:rFonts w:ascii="Arial" w:eastAsia="Calibri" w:hAnsi="Arial" w:cs="Arial"/>
                <w:color w:val="000000"/>
                <w:sz w:val="20"/>
                <w:szCs w:val="20"/>
              </w:rPr>
              <w:t xml:space="preserve">The project aims to facilitate horse riding courses for individuals from all backgrounds from the local community. </w:t>
            </w:r>
          </w:p>
          <w:p w:rsidR="00D20881" w:rsidRPr="00D20881" w:rsidP="00D20881">
            <w:pPr>
              <w:tabs>
                <w:tab w:val="left" w:pos="3645"/>
              </w:tabs>
              <w:rPr>
                <w:rFonts w:ascii="Arial" w:eastAsia="Calibri" w:hAnsi="Arial" w:cs="Arial"/>
                <w:color w:val="000000"/>
                <w:sz w:val="20"/>
                <w:szCs w:val="20"/>
              </w:rPr>
            </w:pPr>
            <w:r w:rsidRPr="00D20881">
              <w:rPr>
                <w:rFonts w:ascii="Arial" w:eastAsia="Calibri" w:hAnsi="Arial" w:cs="Arial"/>
                <w:color w:val="000000"/>
                <w:sz w:val="20"/>
                <w:szCs w:val="20"/>
              </w:rPr>
              <w:t>We will offer a 2 hourly 7 session course over 7 weeks for 48 individuals.</w:t>
            </w:r>
          </w:p>
          <w:p w:rsidR="00D20881" w:rsidRPr="00D20881" w:rsidP="00D20881">
            <w:pPr>
              <w:rPr>
                <w:rFonts w:ascii="Arial" w:eastAsia="Calibri" w:hAnsi="Arial" w:cs="Arial"/>
                <w:color w:val="000000"/>
                <w:sz w:val="20"/>
                <w:szCs w:val="20"/>
              </w:rPr>
            </w:pPr>
            <w:r w:rsidRPr="00D20881">
              <w:rPr>
                <w:rFonts w:ascii="Arial" w:eastAsia="Calibri" w:hAnsi="Arial" w:cs="Arial"/>
                <w:color w:val="000000"/>
                <w:sz w:val="20"/>
                <w:szCs w:val="20"/>
              </w:rPr>
              <w:t>It will provide the whole family an opportunity to partake in an activity inaccessible to most parts of the community due to cost and availability of facilities in the area.</w:t>
            </w:r>
          </w:p>
        </w:tc>
        <w:tc>
          <w:tcPr>
            <w:tcW w:w="1417" w:type="dxa"/>
            <w:shd w:val="clear" w:color="auto" w:fill="auto"/>
            <w:vAlign w:val="center"/>
          </w:tcPr>
          <w:p w:rsidR="00D20881" w:rsidRPr="00D20881" w:rsidP="00D20881">
            <w:pPr>
              <w:rPr>
                <w:rFonts w:ascii="Arial" w:hAnsi="Arial" w:cs="Arial"/>
                <w:b/>
                <w:sz w:val="20"/>
                <w:szCs w:val="20"/>
              </w:rPr>
            </w:pPr>
            <w:r w:rsidRPr="00D20881">
              <w:rPr>
                <w:rFonts w:ascii="Arial" w:hAnsi="Arial" w:cs="Arial"/>
                <w:sz w:val="20"/>
                <w:szCs w:val="20"/>
              </w:rPr>
              <w:t>Total Family</w:t>
            </w:r>
          </w:p>
        </w:tc>
        <w:tc>
          <w:tcPr>
            <w:tcW w:w="1391" w:type="dxa"/>
            <w:vAlign w:val="center"/>
          </w:tcPr>
          <w:p w:rsidR="00D20881" w:rsidRPr="00D20881" w:rsidP="00D32EB5">
            <w:pPr>
              <w:jc w:val="center"/>
              <w:rPr>
                <w:rFonts w:ascii="Arial" w:hAnsi="Arial" w:cs="Arial"/>
                <w:sz w:val="20"/>
                <w:szCs w:val="20"/>
              </w:rPr>
            </w:pPr>
            <w:r>
              <w:rPr>
                <w:rFonts w:ascii="Arial" w:hAnsi="Arial" w:cs="Arial"/>
                <w:sz w:val="20"/>
                <w:szCs w:val="20"/>
              </w:rPr>
              <w:t>£5,000</w:t>
            </w:r>
          </w:p>
        </w:tc>
        <w:tc>
          <w:tcPr>
            <w:tcW w:w="1444" w:type="dxa"/>
            <w:shd w:val="clear" w:color="auto" w:fill="auto"/>
            <w:vAlign w:val="center"/>
          </w:tcPr>
          <w:p w:rsidR="00D20881" w:rsidRPr="00D20881" w:rsidP="00D20881">
            <w:pPr>
              <w:jc w:val="center"/>
              <w:rPr>
                <w:rFonts w:ascii="Arial" w:hAnsi="Arial" w:cs="Arial"/>
                <w:sz w:val="20"/>
                <w:szCs w:val="20"/>
              </w:rPr>
            </w:pPr>
            <w:r w:rsidRPr="00D20881">
              <w:rPr>
                <w:rFonts w:ascii="Arial" w:hAnsi="Arial" w:cs="Arial"/>
                <w:sz w:val="20"/>
                <w:szCs w:val="20"/>
              </w:rPr>
              <w:t>£5,000</w:t>
            </w:r>
          </w:p>
        </w:tc>
        <w:tc>
          <w:tcPr>
            <w:tcW w:w="1985" w:type="dxa"/>
            <w:shd w:val="clear" w:color="auto" w:fill="auto"/>
            <w:vAlign w:val="center"/>
          </w:tcPr>
          <w:p w:rsidR="00D20881" w:rsidRPr="00D20881" w:rsidP="00D20881">
            <w:pPr>
              <w:jc w:val="center"/>
              <w:rPr>
                <w:rFonts w:ascii="Arial" w:hAnsi="Arial" w:cs="Arial"/>
                <w:sz w:val="20"/>
                <w:szCs w:val="20"/>
              </w:rPr>
            </w:pPr>
            <w:r>
              <w:rPr>
                <w:rFonts w:ascii="Arial" w:hAnsi="Arial" w:cs="Arial"/>
                <w:sz w:val="20"/>
                <w:szCs w:val="20"/>
              </w:rPr>
              <w:t>£0.00</w:t>
            </w:r>
          </w:p>
        </w:tc>
        <w:tc>
          <w:tcPr>
            <w:tcW w:w="1984" w:type="dxa"/>
            <w:shd w:val="clear" w:color="auto" w:fill="auto"/>
            <w:vAlign w:val="center"/>
          </w:tcPr>
          <w:p w:rsidR="00D20881" w:rsidRPr="007C5012" w:rsidP="00D20881">
            <w:pPr>
              <w:jc w:val="center"/>
              <w:rPr>
                <w:rFonts w:ascii="Arial" w:hAnsi="Arial" w:cs="Arial"/>
                <w:sz w:val="20"/>
                <w:szCs w:val="20"/>
              </w:rPr>
            </w:pPr>
            <w:r w:rsidRPr="00DA0E97">
              <w:rPr>
                <w:rFonts w:ascii="Arial" w:hAnsi="Arial" w:cs="Arial"/>
                <w:sz w:val="20"/>
                <w:szCs w:val="20"/>
              </w:rPr>
              <w:t>Not recommended</w:t>
            </w:r>
            <w:r>
              <w:rPr>
                <w:rFonts w:ascii="Arial" w:hAnsi="Arial" w:cs="Arial"/>
                <w:sz w:val="20"/>
                <w:szCs w:val="20"/>
              </w:rPr>
              <w:t>.</w:t>
            </w:r>
          </w:p>
          <w:p w:rsidR="007C5012" w:rsidRPr="00D20881" w:rsidP="00D20881">
            <w:pPr>
              <w:jc w:val="center"/>
              <w:rPr>
                <w:rFonts w:ascii="Arial" w:hAnsi="Arial" w:cs="Arial"/>
                <w:sz w:val="20"/>
                <w:szCs w:val="20"/>
              </w:rPr>
            </w:pPr>
            <w:r w:rsidRPr="007C5012">
              <w:rPr>
                <w:rFonts w:ascii="Arial" w:hAnsi="Arial" w:cs="Arial"/>
                <w:color w:val="000000" w:themeColor="text1"/>
                <w:sz w:val="20"/>
                <w:szCs w:val="20"/>
              </w:rPr>
              <w:t>The application did not meet the needs of the priority in this district.</w:t>
            </w:r>
          </w:p>
        </w:tc>
      </w:tr>
    </w:tbl>
    <w:p w:rsidR="00AB41F5" w:rsidRPr="00AB41F5" w:rsidP="00AB41F5">
      <w:pPr>
        <w:spacing w:after="0" w:line="240" w:lineRule="auto"/>
        <w:rPr>
          <w:rFonts w:ascii="Arial" w:hAnsi="Arial" w:cs="Arial"/>
          <w:b/>
          <w:sz w:val="24"/>
          <w:u w:val="single"/>
        </w:rPr>
      </w:pPr>
      <w:r w:rsidRPr="00AB41F5">
        <w:rPr>
          <w:rFonts w:ascii="Arial" w:hAnsi="Arial" w:cs="Arial"/>
          <w:b/>
          <w:sz w:val="24"/>
          <w:u w:val="single"/>
        </w:rPr>
        <w:t xml:space="preserve">Budget Information for </w:t>
      </w:r>
      <w:r w:rsidRPr="00917611">
        <w:rPr>
          <w:rFonts w:ascii="Arial" w:hAnsi="Arial" w:cs="Arial"/>
          <w:b/>
          <w:sz w:val="24"/>
          <w:u w:val="single"/>
        </w:rPr>
        <w:t>Hyndburn</w:t>
      </w:r>
      <w:r>
        <w:rPr>
          <w:rFonts w:ascii="Arial" w:hAnsi="Arial" w:cs="Arial"/>
          <w:b/>
          <w:sz w:val="24"/>
          <w:u w:val="single"/>
        </w:rPr>
        <w:t xml:space="preserve"> Round 2</w:t>
      </w:r>
    </w:p>
    <w:p w:rsidR="00AB41F5" w:rsidRPr="00AB41F5" w:rsidP="00AB41F5">
      <w:pPr>
        <w:spacing w:after="0" w:line="240" w:lineRule="auto"/>
        <w:rPr>
          <w:rFonts w:ascii="Arial" w:hAnsi="Arial" w:cs="Arial"/>
          <w:b/>
          <w:sz w:val="24"/>
          <w:u w:val="single"/>
        </w:rPr>
      </w:pPr>
    </w:p>
    <w:p w:rsidR="00096291" w:rsidP="00AB41F5">
      <w:pPr>
        <w:spacing w:after="0" w:line="240" w:lineRule="auto"/>
        <w:jc w:val="both"/>
        <w:rPr>
          <w:rFonts w:ascii="Arial" w:eastAsia="Times New Roman" w:hAnsi="Arial" w:cs="Arial"/>
          <w:sz w:val="24"/>
          <w:lang w:eastAsia="en-GB"/>
        </w:rPr>
      </w:pPr>
      <w:r w:rsidRPr="00AB41F5">
        <w:rPr>
          <w:rFonts w:ascii="Arial" w:hAnsi="Arial" w:cs="Arial"/>
          <w:sz w:val="24"/>
        </w:rPr>
        <w:t xml:space="preserve">Budget available for </w:t>
      </w:r>
      <w:r>
        <w:rPr>
          <w:rFonts w:ascii="Arial" w:hAnsi="Arial" w:cs="Arial"/>
          <w:sz w:val="24"/>
        </w:rPr>
        <w:t>Hyndburn Round 2</w:t>
      </w:r>
      <w:r w:rsidRPr="00AB41F5">
        <w:rPr>
          <w:rFonts w:ascii="Arial" w:hAnsi="Arial" w:cs="Arial"/>
          <w:sz w:val="24"/>
        </w:rPr>
        <w:t xml:space="preserve"> for 201</w:t>
      </w:r>
      <w:r>
        <w:rPr>
          <w:rFonts w:ascii="Arial" w:hAnsi="Arial" w:cs="Arial"/>
          <w:sz w:val="24"/>
        </w:rPr>
        <w:t>6</w:t>
      </w:r>
      <w:r w:rsidRPr="00AB41F5">
        <w:rPr>
          <w:rFonts w:ascii="Arial" w:hAnsi="Arial" w:cs="Arial"/>
          <w:sz w:val="24"/>
        </w:rPr>
        <w:t>/1</w:t>
      </w:r>
      <w:r>
        <w:rPr>
          <w:rFonts w:ascii="Arial" w:hAnsi="Arial" w:cs="Arial"/>
          <w:sz w:val="24"/>
        </w:rPr>
        <w:t>7</w:t>
      </w:r>
      <w:r>
        <w:rPr>
          <w:rFonts w:ascii="Arial" w:hAnsi="Arial" w:cs="Arial"/>
          <w:sz w:val="24"/>
        </w:rPr>
        <w:tab/>
      </w:r>
      <w:r>
        <w:rPr>
          <w:rFonts w:ascii="Arial" w:hAnsi="Arial" w:cs="Arial"/>
          <w:sz w:val="24"/>
        </w:rPr>
        <w:tab/>
      </w:r>
      <w:r w:rsidRPr="00AB41F5">
        <w:rPr>
          <w:rFonts w:ascii="Arial" w:hAnsi="Arial" w:cs="Arial"/>
          <w:sz w:val="24"/>
        </w:rPr>
        <w:t>£</w:t>
      </w:r>
      <w:r>
        <w:rPr>
          <w:rFonts w:ascii="Arial" w:hAnsi="Arial" w:cs="Arial"/>
          <w:sz w:val="24"/>
        </w:rPr>
        <w:t>5</w:t>
      </w:r>
      <w:r w:rsidRPr="00AB41F5">
        <w:rPr>
          <w:rFonts w:ascii="Arial" w:hAnsi="Arial" w:cs="Arial"/>
          <w:sz w:val="24"/>
        </w:rPr>
        <w:t>,</w:t>
      </w:r>
      <w:r>
        <w:rPr>
          <w:rFonts w:ascii="Arial" w:hAnsi="Arial" w:cs="Arial"/>
          <w:sz w:val="24"/>
        </w:rPr>
        <w:t>556</w:t>
      </w:r>
      <w:r w:rsidRPr="00AB41F5">
        <w:rPr>
          <w:rFonts w:ascii="Arial" w:hAnsi="Arial" w:cs="Arial"/>
          <w:sz w:val="24"/>
        </w:rPr>
        <w:t>.</w:t>
      </w:r>
      <w:r>
        <w:rPr>
          <w:rFonts w:ascii="Arial" w:hAnsi="Arial" w:cs="Arial"/>
          <w:sz w:val="24"/>
        </w:rPr>
        <w:t>86</w:t>
      </w:r>
    </w:p>
    <w:p w:rsidR="00AB41F5" w:rsidRPr="00096291" w:rsidP="00AB41F5">
      <w:pPr>
        <w:spacing w:after="0" w:line="240" w:lineRule="auto"/>
        <w:jc w:val="both"/>
        <w:rPr>
          <w:rFonts w:ascii="Arial" w:eastAsia="Times New Roman" w:hAnsi="Arial" w:cs="Arial"/>
          <w:sz w:val="24"/>
          <w:lang w:eastAsia="en-GB"/>
        </w:rPr>
      </w:pPr>
      <w:r w:rsidRPr="00AB41F5">
        <w:rPr>
          <w:rFonts w:ascii="Arial" w:eastAsia="Times New Roman" w:hAnsi="Arial" w:cs="Arial"/>
          <w:b/>
          <w:sz w:val="24"/>
          <w:lang w:eastAsia="en-GB"/>
        </w:rPr>
        <w:t xml:space="preserve">Total budget available for </w:t>
      </w:r>
      <w:r>
        <w:rPr>
          <w:rFonts w:ascii="Arial" w:eastAsia="Times New Roman" w:hAnsi="Arial" w:cs="Arial"/>
          <w:b/>
          <w:sz w:val="24"/>
          <w:lang w:eastAsia="en-GB"/>
        </w:rPr>
        <w:t>Hyndburn Round 2</w:t>
      </w:r>
      <w:r w:rsidRPr="00AB41F5">
        <w:rPr>
          <w:rFonts w:ascii="Arial" w:eastAsia="Times New Roman" w:hAnsi="Arial" w:cs="Arial"/>
          <w:b/>
          <w:sz w:val="24"/>
          <w:lang w:eastAsia="en-GB"/>
        </w:rPr>
        <w:t xml:space="preserve"> 2016</w:t>
      </w:r>
      <w:r>
        <w:rPr>
          <w:rFonts w:ascii="Arial" w:eastAsia="Times New Roman" w:hAnsi="Arial" w:cs="Arial"/>
          <w:b/>
          <w:sz w:val="24"/>
          <w:lang w:eastAsia="en-GB"/>
        </w:rPr>
        <w:t>/17</w:t>
      </w:r>
      <w:r>
        <w:rPr>
          <w:rFonts w:ascii="Arial" w:eastAsia="Times New Roman" w:hAnsi="Arial" w:cs="Arial"/>
          <w:b/>
          <w:sz w:val="24"/>
          <w:lang w:eastAsia="en-GB"/>
        </w:rPr>
        <w:tab/>
      </w:r>
      <w:r w:rsidRPr="00AB41F5">
        <w:rPr>
          <w:rFonts w:ascii="Arial" w:hAnsi="Arial" w:cs="Arial"/>
          <w:b/>
          <w:sz w:val="24"/>
        </w:rPr>
        <w:t>£</w:t>
      </w:r>
      <w:r>
        <w:rPr>
          <w:rFonts w:ascii="Arial" w:hAnsi="Arial" w:cs="Arial"/>
          <w:b/>
          <w:sz w:val="24"/>
        </w:rPr>
        <w:t>5</w:t>
      </w:r>
      <w:r w:rsidRPr="00AB41F5">
        <w:rPr>
          <w:rFonts w:ascii="Arial" w:hAnsi="Arial" w:cs="Arial"/>
          <w:b/>
          <w:sz w:val="24"/>
        </w:rPr>
        <w:t>,</w:t>
      </w:r>
      <w:r>
        <w:rPr>
          <w:rFonts w:ascii="Arial" w:hAnsi="Arial" w:cs="Arial"/>
          <w:b/>
          <w:sz w:val="24"/>
        </w:rPr>
        <w:t>556.86</w:t>
      </w:r>
    </w:p>
    <w:p w:rsidR="00AB41F5" w:rsidRPr="00AB41F5" w:rsidP="00AB41F5">
      <w:pPr>
        <w:spacing w:after="0" w:line="240" w:lineRule="auto"/>
        <w:jc w:val="both"/>
        <w:rPr>
          <w:rFonts w:ascii="Arial" w:hAnsi="Arial" w:cs="Arial"/>
          <w:b/>
          <w:sz w:val="24"/>
        </w:rPr>
      </w:pPr>
    </w:p>
    <w:p w:rsidR="00AB41F5" w:rsidRPr="00AB41F5" w:rsidP="00AB41F5">
      <w:pPr>
        <w:spacing w:after="0" w:line="240" w:lineRule="auto"/>
        <w:jc w:val="both"/>
        <w:rPr>
          <w:rFonts w:ascii="Arial" w:eastAsia="Times New Roman" w:hAnsi="Arial" w:cs="Arial"/>
          <w:b/>
          <w:color w:val="000000"/>
          <w:sz w:val="24"/>
          <w:lang w:eastAsia="en-GB"/>
        </w:rPr>
      </w:pPr>
      <w:r w:rsidRPr="00AB41F5">
        <w:rPr>
          <w:rFonts w:ascii="Arial" w:eastAsia="Times New Roman" w:hAnsi="Arial" w:cs="Arial"/>
          <w:b/>
          <w:color w:val="000000"/>
          <w:sz w:val="24"/>
          <w:lang w:eastAsia="en-GB"/>
        </w:rPr>
        <w:t>Funds recommended for allocation:</w:t>
      </w:r>
    </w:p>
    <w:p w:rsidR="00AB41F5" w:rsidRPr="00610EB2" w:rsidP="00AB41F5">
      <w:pPr>
        <w:spacing w:after="0" w:line="240" w:lineRule="auto"/>
        <w:rPr>
          <w:rFonts w:ascii="Arial" w:hAnsi="Arial" w:cs="Arial"/>
          <w:color w:val="000000"/>
          <w:sz w:val="14"/>
        </w:rPr>
      </w:pPr>
    </w:p>
    <w:p w:rsidR="004A1FCF" w:rsidP="00AB41F5">
      <w:pPr>
        <w:spacing w:after="0" w:line="240" w:lineRule="auto"/>
        <w:rPr>
          <w:rFonts w:ascii="Arial" w:hAnsi="Arial" w:cs="Arial"/>
          <w:color w:val="000000"/>
          <w:sz w:val="24"/>
        </w:rPr>
      </w:pPr>
      <w:r>
        <w:rPr>
          <w:rFonts w:ascii="Arial" w:hAnsi="Arial" w:cs="Arial"/>
          <w:color w:val="000000"/>
          <w:sz w:val="24"/>
        </w:rPr>
        <w:t>Young Enterprise</w:t>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t>£1,000.00</w:t>
      </w:r>
    </w:p>
    <w:p w:rsidR="004A1FCF" w:rsidP="00AB41F5">
      <w:pPr>
        <w:spacing w:after="0" w:line="240" w:lineRule="auto"/>
        <w:rPr>
          <w:rFonts w:ascii="Arial" w:hAnsi="Arial" w:cs="Arial"/>
          <w:color w:val="000000"/>
          <w:sz w:val="24"/>
        </w:rPr>
      </w:pPr>
      <w:r>
        <w:rPr>
          <w:rFonts w:ascii="Arial" w:hAnsi="Arial" w:cs="Arial"/>
          <w:color w:val="000000"/>
          <w:sz w:val="24"/>
        </w:rPr>
        <w:t>Relate Lancashire</w:t>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t>£1,600.00</w:t>
      </w:r>
    </w:p>
    <w:p w:rsidR="004A1FCF" w:rsidP="00AB41F5">
      <w:pPr>
        <w:spacing w:after="0" w:line="240" w:lineRule="auto"/>
        <w:rPr>
          <w:rFonts w:ascii="Arial" w:hAnsi="Arial" w:cs="Arial"/>
          <w:color w:val="000000"/>
          <w:sz w:val="24"/>
        </w:rPr>
      </w:pPr>
      <w:r>
        <w:rPr>
          <w:rFonts w:ascii="Arial" w:hAnsi="Arial" w:cs="Arial"/>
          <w:color w:val="000000"/>
          <w:sz w:val="24"/>
        </w:rPr>
        <w:t>Carers Link Lancashire</w:t>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t>£1,920.00</w:t>
      </w:r>
    </w:p>
    <w:p w:rsidR="00AB41F5" w:rsidRPr="00AB41F5" w:rsidP="00AB41F5">
      <w:pPr>
        <w:spacing w:after="0" w:line="240" w:lineRule="auto"/>
        <w:jc w:val="both"/>
        <w:rPr>
          <w:rFonts w:ascii="Arial" w:hAnsi="Arial" w:cs="Arial"/>
          <w:b/>
          <w:sz w:val="24"/>
        </w:rPr>
      </w:pPr>
    </w:p>
    <w:p w:rsidR="00AB41F5" w:rsidRPr="00AB41F5" w:rsidP="00AB41F5">
      <w:pPr>
        <w:spacing w:after="0" w:line="240" w:lineRule="auto"/>
        <w:jc w:val="both"/>
        <w:rPr>
          <w:rFonts w:ascii="Arial" w:hAnsi="Arial" w:cs="Arial"/>
          <w:b/>
          <w:sz w:val="24"/>
        </w:rPr>
      </w:pPr>
      <w:r w:rsidRPr="00AB41F5">
        <w:rPr>
          <w:rFonts w:ascii="Arial" w:hAnsi="Arial" w:cs="Arial"/>
          <w:b/>
          <w:sz w:val="24"/>
        </w:rPr>
        <w:t>Total:</w:t>
      </w:r>
      <w:r w:rsidRPr="00AB41F5">
        <w:rPr>
          <w:rFonts w:ascii="Arial" w:hAnsi="Arial" w:cs="Arial"/>
          <w:b/>
          <w:sz w:val="24"/>
        </w:rPr>
        <w:tab/>
      </w:r>
      <w:r w:rsidRPr="00AB41F5">
        <w:rPr>
          <w:rFonts w:ascii="Arial" w:hAnsi="Arial" w:cs="Arial"/>
          <w:b/>
          <w:sz w:val="24"/>
        </w:rPr>
        <w:tab/>
      </w:r>
      <w:r w:rsidRPr="00AB41F5">
        <w:rPr>
          <w:rFonts w:ascii="Arial" w:hAnsi="Arial" w:cs="Arial"/>
          <w:b/>
          <w:sz w:val="24"/>
        </w:rPr>
        <w:tab/>
      </w:r>
      <w:r w:rsidRPr="00AB41F5">
        <w:rPr>
          <w:rFonts w:ascii="Arial" w:hAnsi="Arial" w:cs="Arial"/>
          <w:b/>
          <w:sz w:val="24"/>
        </w:rPr>
        <w:tab/>
      </w:r>
      <w:r w:rsidRPr="00AB41F5">
        <w:rPr>
          <w:rFonts w:ascii="Arial" w:hAnsi="Arial" w:cs="Arial"/>
          <w:b/>
          <w:sz w:val="24"/>
        </w:rPr>
        <w:tab/>
      </w:r>
      <w:r w:rsidRPr="00AB41F5">
        <w:rPr>
          <w:rFonts w:ascii="Arial" w:hAnsi="Arial" w:cs="Arial"/>
          <w:b/>
          <w:sz w:val="24"/>
        </w:rPr>
        <w:tab/>
      </w:r>
      <w:r w:rsidRPr="00AB41F5">
        <w:rPr>
          <w:rFonts w:ascii="Arial" w:hAnsi="Arial" w:cs="Arial"/>
          <w:b/>
          <w:sz w:val="24"/>
        </w:rPr>
        <w:tab/>
      </w:r>
      <w:r>
        <w:rPr>
          <w:rFonts w:ascii="Arial" w:hAnsi="Arial" w:cs="Arial"/>
          <w:b/>
          <w:sz w:val="24"/>
        </w:rPr>
        <w:tab/>
      </w:r>
      <w:r w:rsidRPr="00AB41F5">
        <w:rPr>
          <w:rFonts w:ascii="Arial" w:hAnsi="Arial" w:cs="Arial"/>
          <w:b/>
          <w:sz w:val="24"/>
        </w:rPr>
        <w:tab/>
        <w:t>£</w:t>
      </w:r>
      <w:r>
        <w:rPr>
          <w:rFonts w:ascii="Arial" w:hAnsi="Arial" w:cs="Arial"/>
          <w:b/>
          <w:sz w:val="24"/>
        </w:rPr>
        <w:t>4</w:t>
      </w:r>
      <w:r w:rsidRPr="00AB41F5">
        <w:rPr>
          <w:rFonts w:ascii="Arial" w:hAnsi="Arial" w:cs="Arial"/>
          <w:b/>
          <w:sz w:val="24"/>
        </w:rPr>
        <w:t>,</w:t>
      </w:r>
      <w:r>
        <w:rPr>
          <w:rFonts w:ascii="Arial" w:hAnsi="Arial" w:cs="Arial"/>
          <w:b/>
          <w:sz w:val="24"/>
        </w:rPr>
        <w:t>520</w:t>
      </w:r>
      <w:r w:rsidRPr="00AB41F5">
        <w:rPr>
          <w:rFonts w:ascii="Arial" w:hAnsi="Arial" w:cs="Arial"/>
          <w:b/>
          <w:sz w:val="24"/>
        </w:rPr>
        <w:t>.00</w:t>
      </w:r>
    </w:p>
    <w:p w:rsidR="00AB41F5" w:rsidRPr="00AB41F5" w:rsidP="00AB41F5">
      <w:pPr>
        <w:spacing w:after="0" w:line="240" w:lineRule="auto"/>
        <w:jc w:val="both"/>
        <w:rPr>
          <w:rFonts w:ascii="Arial" w:hAnsi="Arial" w:cs="Arial"/>
          <w:b/>
          <w:sz w:val="24"/>
        </w:rPr>
      </w:pPr>
    </w:p>
    <w:p w:rsidR="00AB41F5" w:rsidRPr="00610EB2" w:rsidP="008F044C">
      <w:pPr>
        <w:spacing w:after="0" w:line="240" w:lineRule="auto"/>
        <w:jc w:val="both"/>
        <w:rPr>
          <w:rFonts w:ascii="Arial" w:hAnsi="Arial" w:cs="Arial"/>
          <w:b/>
          <w:sz w:val="24"/>
        </w:rPr>
      </w:pPr>
      <w:r>
        <w:rPr>
          <w:rFonts w:ascii="Arial" w:hAnsi="Arial" w:cs="Arial"/>
          <w:b/>
          <w:sz w:val="24"/>
        </w:rPr>
        <w:t xml:space="preserve">Funds remaining for </w:t>
      </w:r>
      <w:r w:rsidRPr="00917611">
        <w:rPr>
          <w:rFonts w:ascii="Arial" w:hAnsi="Arial" w:cs="Arial"/>
          <w:b/>
          <w:sz w:val="24"/>
        </w:rPr>
        <w:t>Hyndburn</w:t>
      </w:r>
      <w:r>
        <w:rPr>
          <w:rFonts w:ascii="Arial" w:hAnsi="Arial" w:cs="Arial"/>
          <w:b/>
          <w:sz w:val="24"/>
        </w:rPr>
        <w:t xml:space="preserve"> 2016/17</w:t>
      </w:r>
      <w:r w:rsidRPr="00AB41F5">
        <w:rPr>
          <w:rFonts w:ascii="Arial" w:hAnsi="Arial" w:cs="Arial"/>
          <w:b/>
          <w:sz w:val="24"/>
        </w:rPr>
        <w:t xml:space="preserve"> </w:t>
      </w:r>
      <w:r w:rsidRPr="00AB41F5">
        <w:rPr>
          <w:rFonts w:ascii="Arial" w:hAnsi="Arial" w:cs="Arial"/>
          <w:b/>
          <w:sz w:val="24"/>
        </w:rPr>
        <w:tab/>
      </w:r>
      <w:r w:rsidRPr="00AB41F5">
        <w:rPr>
          <w:rFonts w:ascii="Arial" w:hAnsi="Arial" w:cs="Arial"/>
          <w:b/>
          <w:sz w:val="24"/>
        </w:rPr>
        <w:tab/>
      </w:r>
      <w:r>
        <w:rPr>
          <w:rFonts w:ascii="Arial" w:hAnsi="Arial" w:cs="Arial"/>
          <w:b/>
          <w:sz w:val="24"/>
        </w:rPr>
        <w:tab/>
      </w:r>
      <w:r w:rsidRPr="00AB41F5">
        <w:rPr>
          <w:rFonts w:ascii="Arial" w:hAnsi="Arial" w:cs="Arial"/>
          <w:b/>
          <w:sz w:val="24"/>
        </w:rPr>
        <w:t>£</w:t>
      </w:r>
      <w:r>
        <w:rPr>
          <w:rFonts w:ascii="Arial" w:hAnsi="Arial" w:cs="Arial"/>
          <w:b/>
          <w:sz w:val="24"/>
        </w:rPr>
        <w:t>1,036.86</w:t>
      </w:r>
    </w:p>
    <w:sectPr w:rsidSect="007619BB">
      <w:headerReference w:type="default" r:id="rId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29C5" w:rsidRPr="00B4507D" w:rsidP="007619BB">
    <w:pPr>
      <w:pStyle w:val="Header"/>
      <w:jc w:val="right"/>
      <w:rPr>
        <w:rFonts w:ascii="Arial" w:hAnsi="Arial" w:cs="Arial"/>
        <w:b/>
        <w:sz w:val="24"/>
        <w:szCs w:val="24"/>
      </w:rPr>
    </w:pPr>
    <w:r w:rsidRPr="00B4507D">
      <w:rPr>
        <w:rFonts w:ascii="Arial" w:hAnsi="Arial" w:cs="Arial"/>
        <w:b/>
        <w:sz w:val="24"/>
        <w:szCs w:val="24"/>
      </w:rPr>
      <w:t xml:space="preserve">Appendix </w:t>
    </w:r>
    <w:r w:rsidR="00096291">
      <w:rPr>
        <w:rFonts w:ascii="Arial" w:hAnsi="Arial" w:cs="Arial"/>
        <w:b/>
        <w:sz w:val="24"/>
        <w:szCs w:val="24"/>
      </w:rPr>
      <w:t>B</w:t>
    </w:r>
    <w:r w:rsidRPr="00B4507D">
      <w:rPr>
        <w:rFonts w:ascii="Arial" w:hAnsi="Arial" w:cs="Arial"/>
        <w:b/>
        <w:sz w:val="24"/>
        <w:szCs w:val="24"/>
      </w:rPr>
      <w:t xml:space="preserve"> </w:t>
    </w:r>
    <w:r w:rsidRPr="00917611">
      <w:rPr>
        <w:rFonts w:ascii="Arial" w:hAnsi="Arial" w:cs="Arial"/>
        <w:b/>
        <w:sz w:val="24"/>
        <w:szCs w:val="24"/>
      </w:rPr>
      <w:t>Hyndburn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CDE5F6A"/>
    <w:multiLevelType w:val="hybridMultilevel"/>
    <w:tmpl w:val="4684BC7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1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19BB"/>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Paragraph">
    <w:name w:val="List Paragraph"/>
    <w:basedOn w:val="Normal"/>
    <w:uiPriority w:val="34"/>
    <w:qFormat/>
    <w:rsid w:val="007619BB"/>
    <w:pPr>
      <w:spacing w:after="200" w:line="276" w:lineRule="auto"/>
      <w:ind w:left="720"/>
      <w:contextualSpacing/>
    </w:pPr>
    <w:rPr>
      <w:rFonts w:ascii="Calibri" w:eastAsia="Calibri" w:hAnsi="Calibri" w:cs="Times New Roman"/>
    </w:rPr>
  </w:style>
  <w:style w:type="paragraph" w:styleId="NoSpacing">
    <w:name w:val="No Spacing"/>
    <w:uiPriority w:val="1"/>
    <w:qFormat/>
    <w:rsid w:val="007619BB"/>
    <w:pPr>
      <w:spacing w:after="0" w:line="240" w:lineRule="auto"/>
    </w:pPr>
  </w:style>
  <w:style w:type="paragraph" w:styleId="Header">
    <w:name w:val="header"/>
    <w:basedOn w:val="Normal"/>
    <w:link w:val="HeaderChar"/>
    <w:uiPriority w:val="99"/>
    <w:unhideWhenUsed/>
    <w:rsid w:val="007619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9BB"/>
  </w:style>
  <w:style w:type="paragraph" w:styleId="Footer">
    <w:name w:val="footer"/>
    <w:basedOn w:val="Normal"/>
    <w:link w:val="FooterChar"/>
    <w:uiPriority w:val="99"/>
    <w:unhideWhenUsed/>
    <w:rsid w:val="007619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9BB"/>
  </w:style>
  <w:style w:type="paragraph" w:styleId="BalloonText">
    <w:name w:val="Balloon Text"/>
    <w:basedOn w:val="Normal"/>
    <w:link w:val="BalloonTextChar"/>
    <w:uiPriority w:val="99"/>
    <w:semiHidden/>
    <w:unhideWhenUsed/>
    <w:rsid w:val="00342F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F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AE89B-06C3-4C1B-8B1A-EF4066C4F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Harrison, Katie</dc:creator>
  <cp:lastModifiedBy>Bhatti, Misbah</cp:lastModifiedBy>
  <cp:revision>3</cp:revision>
  <dcterms:created xsi:type="dcterms:W3CDTF">2017-02-10T10:11:00Z</dcterms:created>
  <dcterms:modified xsi:type="dcterms:W3CDTF">2017-02-21T10:42:00Z</dcterms:modified>
</cp:coreProperties>
</file>